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1ADAD">
      <w:pPr>
        <w:tabs>
          <w:tab w:val="left" w:pos="315"/>
          <w:tab w:val="left" w:pos="8820"/>
        </w:tabs>
        <w:spacing w:beforeLines="100" w:afterLines="50" w:line="500" w:lineRule="exact"/>
        <w:ind w:right="267" w:rightChars="127"/>
        <w:jc w:val="both"/>
        <w:rPr>
          <w:rFonts w:ascii="宋体" w:hAnsi="宋体" w:eastAsia="宋体"/>
          <w:b/>
          <w:bCs/>
          <w:color w:val="auto"/>
          <w:sz w:val="52"/>
          <w:szCs w:val="52"/>
        </w:rPr>
      </w:pPr>
    </w:p>
    <w:p w14:paraId="783B3294">
      <w:pPr>
        <w:widowControl/>
        <w:snapToGrid/>
        <w:spacing w:before="0" w:beforeAutospacing="0" w:after="0" w:afterAutospacing="0" w:line="240" w:lineRule="auto"/>
        <w:ind w:firstLine="0" w:firstLineChars="0"/>
        <w:jc w:val="center"/>
        <w:textAlignment w:val="baseline"/>
        <w:rPr>
          <w:rFonts w:hint="eastAsia" w:ascii="宋体" w:hAnsi="宋体" w:eastAsia="宋体" w:cs="宋体"/>
          <w:b/>
          <w:bCs/>
          <w:i w:val="0"/>
          <w:caps w:val="0"/>
          <w:color w:val="auto"/>
          <w:spacing w:val="0"/>
          <w:w w:val="100"/>
          <w:sz w:val="44"/>
          <w:szCs w:val="44"/>
          <w:lang w:val="en-US" w:eastAsia="zh-CN"/>
        </w:rPr>
      </w:pPr>
      <w:r>
        <w:rPr>
          <w:rFonts w:hint="eastAsia" w:ascii="宋体" w:hAnsi="宋体" w:eastAsia="宋体" w:cs="宋体"/>
          <w:b/>
          <w:bCs/>
          <w:i w:val="0"/>
          <w:caps w:val="0"/>
          <w:color w:val="auto"/>
          <w:spacing w:val="0"/>
          <w:w w:val="100"/>
          <w:sz w:val="44"/>
          <w:szCs w:val="44"/>
          <w:lang w:val="en-US" w:eastAsia="zh-CN"/>
        </w:rPr>
        <w:t>安徽交运集团汽车销售有限公司油电混动新能源公交车全套动力电池更换采购项目</w:t>
      </w:r>
    </w:p>
    <w:p w14:paraId="2AA85C44">
      <w:pPr>
        <w:pStyle w:val="2"/>
        <w:rPr>
          <w:rFonts w:hint="eastAsia" w:ascii="宋体" w:hAnsi="宋体" w:eastAsia="宋体" w:cs="宋体"/>
          <w:b/>
          <w:bCs/>
          <w:i w:val="0"/>
          <w:caps w:val="0"/>
          <w:color w:val="auto"/>
          <w:spacing w:val="0"/>
          <w:w w:val="100"/>
          <w:sz w:val="44"/>
          <w:szCs w:val="44"/>
          <w:lang w:val="en-US" w:eastAsia="zh-CN"/>
        </w:rPr>
      </w:pPr>
    </w:p>
    <w:p w14:paraId="6D14486C">
      <w:pPr>
        <w:rPr>
          <w:rFonts w:hint="eastAsia" w:ascii="宋体" w:hAnsi="宋体" w:eastAsia="宋体" w:cs="宋体"/>
          <w:b/>
          <w:bCs/>
          <w:i w:val="0"/>
          <w:caps w:val="0"/>
          <w:color w:val="auto"/>
          <w:spacing w:val="0"/>
          <w:w w:val="100"/>
          <w:sz w:val="44"/>
          <w:szCs w:val="44"/>
          <w:lang w:val="en-US" w:eastAsia="zh-CN"/>
        </w:rPr>
      </w:pPr>
    </w:p>
    <w:p w14:paraId="7B82FB02">
      <w:pPr>
        <w:pStyle w:val="2"/>
        <w:rPr>
          <w:rFonts w:hint="eastAsia" w:ascii="宋体" w:hAnsi="宋体" w:eastAsia="宋体" w:cs="宋体"/>
          <w:b/>
          <w:bCs/>
          <w:i w:val="0"/>
          <w:caps w:val="0"/>
          <w:color w:val="auto"/>
          <w:spacing w:val="0"/>
          <w:w w:val="100"/>
          <w:sz w:val="44"/>
          <w:szCs w:val="44"/>
          <w:lang w:val="en-US" w:eastAsia="zh-CN"/>
        </w:rPr>
      </w:pPr>
    </w:p>
    <w:p w14:paraId="35F859A5">
      <w:pPr>
        <w:rPr>
          <w:rFonts w:hint="eastAsia"/>
          <w:color w:val="auto"/>
          <w:lang w:val="en-US" w:eastAsia="zh-CN"/>
        </w:rPr>
      </w:pPr>
    </w:p>
    <w:p w14:paraId="64192FE7">
      <w:pPr>
        <w:rPr>
          <w:rFonts w:hint="eastAsia"/>
          <w:color w:val="auto"/>
          <w:lang w:val="en-US" w:eastAsia="zh-CN"/>
        </w:rPr>
      </w:pPr>
    </w:p>
    <w:p w14:paraId="6646B1D9">
      <w:pPr>
        <w:snapToGrid/>
        <w:spacing w:before="0" w:beforeAutospacing="0" w:after="0" w:afterAutospacing="0" w:line="240" w:lineRule="auto"/>
        <w:ind w:firstLine="0" w:firstLineChars="0"/>
        <w:jc w:val="center"/>
        <w:textAlignment w:val="baseline"/>
        <w:rPr>
          <w:rFonts w:hint="default" w:ascii="Times New Roman" w:hAnsi="Times New Roman" w:eastAsia="黑体" w:cs="Times New Roman"/>
          <w:b w:val="0"/>
          <w:i w:val="0"/>
          <w:caps w:val="0"/>
          <w:color w:val="auto"/>
          <w:spacing w:val="0"/>
          <w:w w:val="100"/>
          <w:sz w:val="72"/>
          <w:szCs w:val="72"/>
        </w:rPr>
      </w:pPr>
      <w:r>
        <w:rPr>
          <w:rFonts w:hint="default" w:ascii="Times New Roman" w:hAnsi="Times New Roman" w:eastAsia="黑体" w:cs="Times New Roman"/>
          <w:b w:val="0"/>
          <w:i w:val="0"/>
          <w:caps w:val="0"/>
          <w:color w:val="auto"/>
          <w:spacing w:val="0"/>
          <w:w w:val="100"/>
          <w:sz w:val="72"/>
          <w:szCs w:val="72"/>
          <w:lang w:val="en-US" w:eastAsia="zh-CN"/>
        </w:rPr>
        <w:t xml:space="preserve">询  比  </w:t>
      </w:r>
      <w:r>
        <w:rPr>
          <w:rFonts w:hint="default" w:ascii="Times New Roman" w:hAnsi="Times New Roman" w:eastAsia="黑体" w:cs="Times New Roman"/>
          <w:b w:val="0"/>
          <w:i w:val="0"/>
          <w:caps w:val="0"/>
          <w:color w:val="auto"/>
          <w:spacing w:val="0"/>
          <w:w w:val="100"/>
          <w:sz w:val="72"/>
          <w:szCs w:val="72"/>
        </w:rPr>
        <w:t>文</w:t>
      </w:r>
      <w:r>
        <w:rPr>
          <w:rFonts w:hint="default" w:ascii="Times New Roman" w:hAnsi="Times New Roman" w:eastAsia="黑体" w:cs="Times New Roman"/>
          <w:b w:val="0"/>
          <w:i w:val="0"/>
          <w:caps w:val="0"/>
          <w:color w:val="auto"/>
          <w:spacing w:val="0"/>
          <w:w w:val="100"/>
          <w:sz w:val="72"/>
          <w:szCs w:val="72"/>
          <w:lang w:val="en-US" w:eastAsia="zh-CN"/>
        </w:rPr>
        <w:t xml:space="preserve">  </w:t>
      </w:r>
      <w:r>
        <w:rPr>
          <w:rFonts w:hint="default" w:ascii="Times New Roman" w:hAnsi="Times New Roman" w:eastAsia="黑体" w:cs="Times New Roman"/>
          <w:b w:val="0"/>
          <w:i w:val="0"/>
          <w:caps w:val="0"/>
          <w:color w:val="auto"/>
          <w:spacing w:val="0"/>
          <w:w w:val="100"/>
          <w:sz w:val="72"/>
          <w:szCs w:val="72"/>
        </w:rPr>
        <w:t>件</w:t>
      </w:r>
    </w:p>
    <w:p w14:paraId="421B381F">
      <w:pPr>
        <w:tabs>
          <w:tab w:val="left" w:pos="315"/>
          <w:tab w:val="left" w:pos="8820"/>
        </w:tabs>
        <w:spacing w:beforeLines="100" w:afterLines="50" w:line="500" w:lineRule="exact"/>
        <w:ind w:right="267" w:rightChars="127" w:firstLine="883"/>
        <w:jc w:val="center"/>
        <w:rPr>
          <w:rFonts w:ascii="宋体" w:hAnsi="宋体" w:eastAsia="宋体"/>
          <w:b/>
          <w:bCs/>
          <w:color w:val="auto"/>
          <w:sz w:val="44"/>
          <w:szCs w:val="44"/>
        </w:rPr>
      </w:pPr>
    </w:p>
    <w:p w14:paraId="65917865">
      <w:pPr>
        <w:tabs>
          <w:tab w:val="left" w:pos="315"/>
          <w:tab w:val="left" w:pos="8820"/>
        </w:tabs>
        <w:spacing w:beforeLines="100" w:afterLines="50" w:line="500" w:lineRule="exact"/>
        <w:ind w:right="267" w:rightChars="127" w:firstLine="883"/>
        <w:jc w:val="center"/>
        <w:rPr>
          <w:rFonts w:ascii="宋体" w:hAnsi="宋体" w:eastAsia="宋体"/>
          <w:b/>
          <w:bCs/>
          <w:color w:val="auto"/>
          <w:sz w:val="44"/>
          <w:szCs w:val="44"/>
        </w:rPr>
      </w:pPr>
    </w:p>
    <w:p w14:paraId="17408367">
      <w:pPr>
        <w:spacing w:line="312" w:lineRule="auto"/>
        <w:ind w:firstLine="723"/>
        <w:jc w:val="center"/>
        <w:rPr>
          <w:rFonts w:ascii="宋体" w:hAnsi="宋体" w:eastAsia="宋体"/>
          <w:b/>
          <w:color w:val="auto"/>
          <w:spacing w:val="20"/>
          <w:kern w:val="0"/>
          <w:sz w:val="32"/>
          <w:szCs w:val="32"/>
        </w:rPr>
      </w:pPr>
    </w:p>
    <w:p w14:paraId="4D797A85">
      <w:pPr>
        <w:spacing w:line="312" w:lineRule="auto"/>
        <w:ind w:firstLine="723"/>
        <w:jc w:val="center"/>
        <w:rPr>
          <w:rFonts w:ascii="宋体" w:hAnsi="宋体" w:eastAsia="宋体"/>
          <w:b/>
          <w:color w:val="auto"/>
          <w:spacing w:val="20"/>
          <w:kern w:val="0"/>
          <w:sz w:val="32"/>
          <w:szCs w:val="32"/>
        </w:rPr>
      </w:pPr>
    </w:p>
    <w:p w14:paraId="5AB88003">
      <w:pPr>
        <w:spacing w:line="312" w:lineRule="auto"/>
        <w:ind w:firstLine="723"/>
        <w:jc w:val="center"/>
        <w:rPr>
          <w:rFonts w:ascii="宋体" w:hAnsi="宋体" w:eastAsia="宋体"/>
          <w:b/>
          <w:color w:val="auto"/>
          <w:spacing w:val="20"/>
          <w:kern w:val="0"/>
          <w:sz w:val="30"/>
          <w:szCs w:val="30"/>
        </w:rPr>
      </w:pPr>
    </w:p>
    <w:p w14:paraId="45ABAFC9">
      <w:pPr>
        <w:spacing w:line="312" w:lineRule="auto"/>
        <w:ind w:firstLine="341" w:firstLineChars="100"/>
        <w:jc w:val="both"/>
        <w:rPr>
          <w:rFonts w:hint="eastAsia" w:ascii="宋体" w:hAnsi="宋体" w:eastAsia="宋体"/>
          <w:b/>
          <w:color w:val="auto"/>
          <w:spacing w:val="20"/>
          <w:kern w:val="0"/>
          <w:sz w:val="30"/>
          <w:szCs w:val="30"/>
        </w:rPr>
      </w:pPr>
      <w:r>
        <w:rPr>
          <w:rFonts w:hint="eastAsia" w:ascii="宋体" w:hAnsi="宋体" w:eastAsia="宋体"/>
          <w:b/>
          <w:color w:val="auto"/>
          <w:spacing w:val="20"/>
          <w:kern w:val="0"/>
          <w:sz w:val="30"/>
          <w:szCs w:val="30"/>
          <w:lang w:eastAsia="zh-CN"/>
        </w:rPr>
        <w:t>项目名称：</w:t>
      </w:r>
      <w:r>
        <w:rPr>
          <w:rFonts w:hint="eastAsia" w:ascii="宋体" w:hAnsi="宋体" w:eastAsia="宋体"/>
          <w:b/>
          <w:color w:val="auto"/>
          <w:spacing w:val="20"/>
          <w:kern w:val="0"/>
          <w:sz w:val="30"/>
          <w:szCs w:val="30"/>
          <w:lang w:val="en-US" w:eastAsia="zh-CN"/>
        </w:rPr>
        <w:t>安徽交运集团汽车销售有限公司油电混动新能源公交车全套动力电池更换采购项目</w:t>
      </w:r>
    </w:p>
    <w:p w14:paraId="748C88DF">
      <w:pPr>
        <w:spacing w:line="312" w:lineRule="auto"/>
        <w:ind w:firstLine="341" w:firstLineChars="100"/>
        <w:jc w:val="both"/>
        <w:rPr>
          <w:rFonts w:ascii="宋体" w:hAnsi="宋体" w:eastAsia="宋体"/>
          <w:b/>
          <w:color w:val="auto"/>
          <w:spacing w:val="20"/>
          <w:kern w:val="0"/>
          <w:sz w:val="32"/>
          <w:szCs w:val="32"/>
        </w:rPr>
      </w:pPr>
      <w:r>
        <w:rPr>
          <w:rFonts w:hint="eastAsia" w:ascii="宋体" w:hAnsi="宋体" w:eastAsia="宋体"/>
          <w:b/>
          <w:color w:val="auto"/>
          <w:spacing w:val="20"/>
          <w:kern w:val="0"/>
          <w:sz w:val="30"/>
          <w:szCs w:val="30"/>
        </w:rPr>
        <w:t>采购人：</w:t>
      </w:r>
      <w:r>
        <w:rPr>
          <w:rFonts w:hint="eastAsia" w:ascii="宋体" w:hAnsi="宋体" w:eastAsia="宋体"/>
          <w:b/>
          <w:color w:val="auto"/>
          <w:spacing w:val="20"/>
          <w:kern w:val="0"/>
          <w:sz w:val="30"/>
          <w:szCs w:val="30"/>
          <w:lang w:eastAsia="zh-CN"/>
        </w:rPr>
        <w:t>安徽交运集团汽车销售有限公司</w:t>
      </w:r>
      <w:r>
        <w:rPr>
          <w:rFonts w:hint="eastAsia" w:ascii="宋体" w:hAnsi="宋体" w:eastAsia="宋体"/>
          <w:b/>
          <w:color w:val="auto"/>
          <w:spacing w:val="20"/>
          <w:kern w:val="0"/>
          <w:sz w:val="30"/>
          <w:szCs w:val="30"/>
        </w:rPr>
        <w:t xml:space="preserve">  </w:t>
      </w:r>
      <w:r>
        <w:rPr>
          <w:rFonts w:hint="eastAsia" w:ascii="宋体" w:hAnsi="宋体" w:eastAsia="宋体"/>
          <w:b/>
          <w:color w:val="auto"/>
          <w:spacing w:val="20"/>
          <w:kern w:val="0"/>
          <w:sz w:val="32"/>
          <w:szCs w:val="32"/>
        </w:rPr>
        <w:t xml:space="preserve">        </w:t>
      </w:r>
    </w:p>
    <w:p w14:paraId="1B8020C9">
      <w:pPr>
        <w:pStyle w:val="24"/>
        <w:ind w:left="0" w:leftChars="0" w:firstLine="0" w:firstLineChars="0"/>
        <w:rPr>
          <w:rFonts w:hint="eastAsia" w:ascii="宋体" w:hAnsi="宋体" w:eastAsia="宋体" w:cs="宋体"/>
          <w:b/>
          <w:color w:val="auto"/>
          <w:sz w:val="28"/>
          <w:szCs w:val="32"/>
        </w:rPr>
      </w:pPr>
    </w:p>
    <w:p w14:paraId="39745865">
      <w:pPr>
        <w:rPr>
          <w:rFonts w:hint="eastAsia" w:ascii="宋体" w:hAnsi="宋体" w:eastAsia="宋体" w:cs="宋体"/>
          <w:b/>
          <w:color w:val="auto"/>
          <w:sz w:val="28"/>
          <w:szCs w:val="32"/>
        </w:rPr>
      </w:pPr>
    </w:p>
    <w:p w14:paraId="37EAB40F">
      <w:pPr>
        <w:pStyle w:val="24"/>
        <w:rPr>
          <w:rFonts w:hint="eastAsia" w:ascii="宋体" w:hAnsi="宋体" w:eastAsia="宋体" w:cs="宋体"/>
          <w:b/>
          <w:color w:val="auto"/>
          <w:sz w:val="28"/>
          <w:szCs w:val="32"/>
        </w:rPr>
      </w:pPr>
    </w:p>
    <w:p w14:paraId="2580ED37">
      <w:pPr>
        <w:rPr>
          <w:rFonts w:hint="eastAsia" w:ascii="宋体" w:hAnsi="宋体" w:eastAsia="宋体" w:cs="宋体"/>
          <w:b/>
          <w:color w:val="auto"/>
          <w:sz w:val="28"/>
          <w:szCs w:val="32"/>
        </w:rPr>
      </w:pPr>
    </w:p>
    <w:p w14:paraId="402D7F7A">
      <w:pPr>
        <w:pStyle w:val="24"/>
        <w:rPr>
          <w:rFonts w:hint="eastAsia" w:ascii="宋体" w:hAnsi="宋体" w:eastAsia="宋体" w:cs="宋体"/>
          <w:b/>
          <w:color w:val="auto"/>
          <w:sz w:val="28"/>
          <w:szCs w:val="32"/>
        </w:rPr>
      </w:pPr>
    </w:p>
    <w:p w14:paraId="45EA47F3">
      <w:pPr>
        <w:rPr>
          <w:rFonts w:hint="eastAsia" w:ascii="宋体" w:hAnsi="宋体" w:eastAsia="宋体" w:cs="宋体"/>
          <w:b/>
          <w:color w:val="auto"/>
          <w:sz w:val="28"/>
          <w:szCs w:val="32"/>
        </w:rPr>
      </w:pPr>
    </w:p>
    <w:p w14:paraId="7DCF2B12">
      <w:pPr>
        <w:pStyle w:val="24"/>
        <w:ind w:left="0" w:leftChars="0" w:firstLine="0" w:firstLineChars="0"/>
        <w:rPr>
          <w:color w:val="auto"/>
        </w:rPr>
      </w:pPr>
    </w:p>
    <w:p w14:paraId="2A5F9383">
      <w:pPr>
        <w:tabs>
          <w:tab w:val="left" w:pos="2410"/>
        </w:tabs>
        <w:autoSpaceDE w:val="0"/>
        <w:autoSpaceDN w:val="0"/>
        <w:adjustRightInd w:val="0"/>
        <w:snapToGrid w:val="0"/>
        <w:spacing w:line="360" w:lineRule="auto"/>
        <w:jc w:val="both"/>
        <w:rPr>
          <w:rFonts w:ascii="宋体" w:hAnsi="宋体" w:eastAsia="宋体"/>
          <w:b/>
          <w:color w:val="auto"/>
          <w:sz w:val="28"/>
        </w:rPr>
      </w:pPr>
    </w:p>
    <w:p w14:paraId="52A59A85">
      <w:pPr>
        <w:tabs>
          <w:tab w:val="left" w:pos="2410"/>
        </w:tabs>
        <w:autoSpaceDE w:val="0"/>
        <w:autoSpaceDN w:val="0"/>
        <w:adjustRightInd w:val="0"/>
        <w:snapToGrid w:val="0"/>
        <w:spacing w:line="360" w:lineRule="auto"/>
        <w:ind w:firstLine="562"/>
        <w:jc w:val="center"/>
        <w:rPr>
          <w:rFonts w:ascii="宋体" w:hAnsi="宋体" w:eastAsia="宋体"/>
          <w:b/>
          <w:color w:val="auto"/>
          <w:sz w:val="44"/>
          <w:szCs w:val="44"/>
        </w:rPr>
      </w:pPr>
    </w:p>
    <w:p w14:paraId="40355F55">
      <w:pPr>
        <w:tabs>
          <w:tab w:val="left" w:pos="2410"/>
        </w:tabs>
        <w:autoSpaceDE w:val="0"/>
        <w:autoSpaceDN w:val="0"/>
        <w:adjustRightInd w:val="0"/>
        <w:snapToGrid w:val="0"/>
        <w:spacing w:line="360" w:lineRule="auto"/>
        <w:ind w:firstLine="562"/>
        <w:jc w:val="center"/>
        <w:rPr>
          <w:rFonts w:hint="eastAsia" w:ascii="宋体" w:hAnsi="宋体" w:eastAsia="宋体"/>
          <w:b/>
          <w:color w:val="auto"/>
          <w:sz w:val="44"/>
          <w:szCs w:val="44"/>
        </w:rPr>
      </w:pPr>
      <w:r>
        <w:rPr>
          <w:rFonts w:hint="eastAsia" w:ascii="宋体" w:hAnsi="宋体" w:eastAsia="宋体"/>
          <w:b/>
          <w:color w:val="auto"/>
          <w:sz w:val="44"/>
          <w:szCs w:val="44"/>
        </w:rPr>
        <w:t>目  录</w:t>
      </w:r>
    </w:p>
    <w:p w14:paraId="1CBA2A98">
      <w:pPr>
        <w:pStyle w:val="2"/>
        <w:rPr>
          <w:rFonts w:hint="eastAsia"/>
        </w:rPr>
      </w:pPr>
    </w:p>
    <w:p w14:paraId="205A0C49">
      <w:pPr>
        <w:pStyle w:val="19"/>
        <w:pageBreakBefore w:val="0"/>
        <w:tabs>
          <w:tab w:val="right" w:leader="dot" w:pos="8306"/>
        </w:tabs>
        <w:kinsoku/>
        <w:wordWrap/>
        <w:overflowPunct/>
        <w:topLinePunct w:val="0"/>
        <w:autoSpaceDE/>
        <w:autoSpaceDN/>
        <w:bidi w:val="0"/>
        <w:adjustRightInd/>
        <w:snapToGrid/>
        <w:spacing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begin"/>
      </w: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instrText xml:space="preserve"> TOC \o "1-2" \h \z \u </w:instrText>
      </w: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separate"/>
      </w: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第一章 招标公告</w:t>
      </w:r>
    </w:p>
    <w:p w14:paraId="3503CCAD">
      <w:pPr>
        <w:pStyle w:val="19"/>
        <w:pageBreakBefore w:val="0"/>
        <w:tabs>
          <w:tab w:val="right" w:leader="dot" w:pos="8306"/>
        </w:tabs>
        <w:kinsoku/>
        <w:wordWrap/>
        <w:overflowPunct/>
        <w:topLinePunct w:val="0"/>
        <w:autoSpaceDE/>
        <w:autoSpaceDN/>
        <w:bidi w:val="0"/>
        <w:adjustRightInd/>
        <w:snapToGrid/>
        <w:spacing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第二章 投标人须知</w:t>
      </w:r>
    </w:p>
    <w:p w14:paraId="78F4B5AA">
      <w:pPr>
        <w:pageBreakBefore w:val="0"/>
        <w:kinsoku/>
        <w:wordWrap/>
        <w:overflowPunct/>
        <w:topLinePunct w:val="0"/>
        <w:autoSpaceDE/>
        <w:autoSpaceDN/>
        <w:bidi w:val="0"/>
        <w:adjustRightInd/>
        <w:snapToGrid/>
        <w:spacing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第三章 采购需求</w:t>
      </w:r>
    </w:p>
    <w:p w14:paraId="748A4906">
      <w:pPr>
        <w:pStyle w:val="2"/>
        <w:pageBreakBefore w:val="0"/>
        <w:kinsoku/>
        <w:wordWrap/>
        <w:overflowPunct/>
        <w:topLinePunct w:val="0"/>
        <w:autoSpaceDE/>
        <w:autoSpaceDN/>
        <w:bidi w:val="0"/>
        <w:adjustRightInd/>
        <w:snapToGrid/>
        <w:spacing w:before="0"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第四章 评标方法和标准</w:t>
      </w:r>
    </w:p>
    <w:p w14:paraId="4B160ED9">
      <w:pPr>
        <w:pageBreakBefore w:val="0"/>
        <w:kinsoku/>
        <w:wordWrap/>
        <w:overflowPunct/>
        <w:topLinePunct w:val="0"/>
        <w:autoSpaceDE/>
        <w:autoSpaceDN/>
        <w:bidi w:val="0"/>
        <w:adjustRightInd/>
        <w:snapToGrid/>
        <w:spacing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第五章 合同条款及格式</w:t>
      </w:r>
    </w:p>
    <w:p w14:paraId="36573B3E">
      <w:pPr>
        <w:pStyle w:val="2"/>
        <w:pageBreakBefore w:val="0"/>
        <w:kinsoku/>
        <w:wordWrap/>
        <w:overflowPunct/>
        <w:topLinePunct w:val="0"/>
        <w:autoSpaceDE/>
        <w:autoSpaceDN/>
        <w:bidi w:val="0"/>
        <w:adjustRightInd/>
        <w:snapToGrid/>
        <w:spacing w:before="0"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第六章 投标文件格式</w:t>
      </w:r>
    </w:p>
    <w:p w14:paraId="27589ACA">
      <w:pPr>
        <w:pStyle w:val="19"/>
        <w:pageBreakBefore w:val="0"/>
        <w:tabs>
          <w:tab w:val="right" w:leader="dot" w:pos="8306"/>
        </w:tabs>
        <w:kinsoku/>
        <w:wordWrap/>
        <w:overflowPunct/>
        <w:topLinePunct w:val="0"/>
        <w:autoSpaceDE/>
        <w:autoSpaceDN/>
        <w:bidi w:val="0"/>
        <w:adjustRightInd/>
        <w:snapToGrid/>
        <w:spacing w:line="560" w:lineRule="atLeast"/>
        <w:ind w:firstLine="440"/>
        <w:jc w:val="left"/>
        <w:textAlignment w:val="auto"/>
        <w:rPr>
          <w:rFonts w:asciiTheme="minorEastAsia" w:hAnsiTheme="minorEastAsia"/>
          <w:color w:val="auto"/>
        </w:rPr>
      </w:pP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end"/>
      </w:r>
      <w:bookmarkStart w:id="0" w:name="_Toc23443"/>
    </w:p>
    <w:p w14:paraId="0B253DF3">
      <w:pPr>
        <w:spacing w:line="360" w:lineRule="auto"/>
        <w:ind w:firstLine="480"/>
        <w:jc w:val="center"/>
        <w:outlineLvl w:val="0"/>
        <w:rPr>
          <w:rFonts w:asciiTheme="minorEastAsia" w:hAnsiTheme="minorEastAsia" w:eastAsiaTheme="minorEastAsia"/>
          <w:color w:val="auto"/>
          <w:szCs w:val="24"/>
        </w:rPr>
      </w:pPr>
    </w:p>
    <w:p w14:paraId="124DE651">
      <w:pPr>
        <w:spacing w:line="360" w:lineRule="auto"/>
        <w:ind w:firstLine="480"/>
        <w:jc w:val="center"/>
        <w:outlineLvl w:val="0"/>
        <w:rPr>
          <w:rFonts w:asciiTheme="minorEastAsia" w:hAnsiTheme="minorEastAsia" w:eastAsiaTheme="minorEastAsia"/>
          <w:color w:val="auto"/>
          <w:szCs w:val="24"/>
        </w:rPr>
      </w:pPr>
    </w:p>
    <w:p w14:paraId="79BB0F99">
      <w:pPr>
        <w:spacing w:line="360" w:lineRule="auto"/>
        <w:ind w:firstLine="480"/>
        <w:jc w:val="center"/>
        <w:outlineLvl w:val="0"/>
        <w:rPr>
          <w:rFonts w:asciiTheme="minorEastAsia" w:hAnsiTheme="minorEastAsia" w:eastAsiaTheme="minorEastAsia"/>
          <w:color w:val="auto"/>
          <w:szCs w:val="24"/>
        </w:rPr>
      </w:pPr>
    </w:p>
    <w:p w14:paraId="242F3B05">
      <w:pPr>
        <w:spacing w:line="360" w:lineRule="auto"/>
        <w:ind w:firstLine="480"/>
        <w:jc w:val="center"/>
        <w:outlineLvl w:val="0"/>
        <w:rPr>
          <w:rFonts w:asciiTheme="minorEastAsia" w:hAnsiTheme="minorEastAsia" w:eastAsiaTheme="minorEastAsia"/>
          <w:color w:val="auto"/>
          <w:szCs w:val="24"/>
        </w:rPr>
      </w:pPr>
    </w:p>
    <w:p w14:paraId="4A4AC5F7">
      <w:pPr>
        <w:spacing w:line="360" w:lineRule="auto"/>
        <w:ind w:firstLine="480"/>
        <w:jc w:val="center"/>
        <w:outlineLvl w:val="0"/>
        <w:rPr>
          <w:rFonts w:asciiTheme="minorEastAsia" w:hAnsiTheme="minorEastAsia" w:eastAsiaTheme="minorEastAsia"/>
          <w:color w:val="auto"/>
          <w:szCs w:val="24"/>
        </w:rPr>
      </w:pPr>
    </w:p>
    <w:p w14:paraId="2A045472">
      <w:pPr>
        <w:spacing w:line="360" w:lineRule="auto"/>
        <w:ind w:firstLine="480"/>
        <w:jc w:val="center"/>
        <w:outlineLvl w:val="0"/>
        <w:rPr>
          <w:rFonts w:asciiTheme="minorEastAsia" w:hAnsiTheme="minorEastAsia" w:eastAsiaTheme="minorEastAsia"/>
          <w:color w:val="auto"/>
          <w:szCs w:val="24"/>
        </w:rPr>
      </w:pPr>
    </w:p>
    <w:p w14:paraId="4D901A16">
      <w:pPr>
        <w:spacing w:line="360" w:lineRule="auto"/>
        <w:ind w:firstLine="480"/>
        <w:jc w:val="center"/>
        <w:outlineLvl w:val="0"/>
        <w:rPr>
          <w:rFonts w:asciiTheme="minorEastAsia" w:hAnsiTheme="minorEastAsia" w:eastAsiaTheme="minorEastAsia"/>
          <w:color w:val="auto"/>
          <w:szCs w:val="24"/>
        </w:rPr>
      </w:pPr>
    </w:p>
    <w:p w14:paraId="5BE62F79">
      <w:pPr>
        <w:spacing w:line="360" w:lineRule="auto"/>
        <w:ind w:firstLine="480"/>
        <w:jc w:val="center"/>
        <w:outlineLvl w:val="0"/>
        <w:rPr>
          <w:rFonts w:asciiTheme="minorEastAsia" w:hAnsiTheme="minorEastAsia" w:eastAsiaTheme="minorEastAsia"/>
          <w:color w:val="auto"/>
          <w:szCs w:val="24"/>
        </w:rPr>
      </w:pPr>
    </w:p>
    <w:p w14:paraId="7CBF8A4D">
      <w:pPr>
        <w:spacing w:line="360" w:lineRule="auto"/>
        <w:ind w:firstLine="480"/>
        <w:jc w:val="center"/>
        <w:outlineLvl w:val="0"/>
        <w:rPr>
          <w:rFonts w:asciiTheme="minorEastAsia" w:hAnsiTheme="minorEastAsia" w:eastAsiaTheme="minorEastAsia"/>
          <w:color w:val="auto"/>
          <w:szCs w:val="24"/>
        </w:rPr>
      </w:pPr>
    </w:p>
    <w:p w14:paraId="44E9E97F">
      <w:pPr>
        <w:spacing w:line="360" w:lineRule="auto"/>
        <w:ind w:firstLine="480"/>
        <w:jc w:val="center"/>
        <w:outlineLvl w:val="0"/>
        <w:rPr>
          <w:rFonts w:asciiTheme="minorEastAsia" w:hAnsiTheme="minorEastAsia" w:eastAsiaTheme="minorEastAsia"/>
          <w:color w:val="auto"/>
          <w:szCs w:val="24"/>
        </w:rPr>
      </w:pPr>
    </w:p>
    <w:p w14:paraId="302B484E">
      <w:pPr>
        <w:spacing w:line="360" w:lineRule="auto"/>
        <w:ind w:firstLine="480"/>
        <w:jc w:val="center"/>
        <w:outlineLvl w:val="0"/>
        <w:rPr>
          <w:rFonts w:asciiTheme="minorEastAsia" w:hAnsiTheme="minorEastAsia" w:eastAsiaTheme="minorEastAsia"/>
          <w:color w:val="auto"/>
          <w:szCs w:val="24"/>
        </w:rPr>
      </w:pPr>
    </w:p>
    <w:p w14:paraId="336F374E">
      <w:pPr>
        <w:spacing w:line="360" w:lineRule="auto"/>
        <w:jc w:val="both"/>
        <w:outlineLvl w:val="0"/>
        <w:rPr>
          <w:rFonts w:asciiTheme="minorEastAsia" w:hAnsiTheme="minorEastAsia" w:eastAsiaTheme="minorEastAsia"/>
          <w:color w:val="auto"/>
          <w:szCs w:val="24"/>
        </w:rPr>
      </w:pPr>
    </w:p>
    <w:p w14:paraId="567C63D9">
      <w:pPr>
        <w:spacing w:line="360" w:lineRule="auto"/>
        <w:jc w:val="both"/>
        <w:outlineLvl w:val="0"/>
        <w:rPr>
          <w:rFonts w:asciiTheme="minorEastAsia" w:hAnsiTheme="minorEastAsia" w:eastAsiaTheme="minorEastAsia"/>
          <w:color w:val="auto"/>
          <w:szCs w:val="24"/>
        </w:rPr>
      </w:pPr>
    </w:p>
    <w:p w14:paraId="102EB581">
      <w:pPr>
        <w:spacing w:line="360" w:lineRule="auto"/>
        <w:ind w:firstLine="562"/>
        <w:jc w:val="center"/>
        <w:outlineLvl w:val="0"/>
        <w:rPr>
          <w:rFonts w:asciiTheme="minorEastAsia" w:hAnsiTheme="minorEastAsia" w:eastAsiaTheme="minorEastAsia"/>
          <w:b/>
          <w:color w:val="auto"/>
          <w:sz w:val="28"/>
        </w:rPr>
      </w:pPr>
      <w:r>
        <w:rPr>
          <w:rFonts w:hint="eastAsia" w:asciiTheme="minorEastAsia" w:hAnsiTheme="minorEastAsia" w:eastAsiaTheme="minorEastAsia"/>
          <w:b/>
          <w:color w:val="auto"/>
          <w:sz w:val="28"/>
        </w:rPr>
        <w:t xml:space="preserve">第一章 </w:t>
      </w:r>
      <w:r>
        <w:rPr>
          <w:rFonts w:asciiTheme="minorEastAsia" w:hAnsiTheme="minorEastAsia" w:eastAsiaTheme="minorEastAsia"/>
          <w:b/>
          <w:color w:val="auto"/>
          <w:sz w:val="28"/>
        </w:rPr>
        <w:t xml:space="preserve"> </w:t>
      </w:r>
      <w:bookmarkEnd w:id="0"/>
      <w:r>
        <w:rPr>
          <w:rFonts w:hint="eastAsia" w:asciiTheme="minorEastAsia" w:hAnsiTheme="minorEastAsia" w:eastAsiaTheme="minorEastAsia"/>
          <w:b/>
          <w:color w:val="auto"/>
          <w:sz w:val="28"/>
        </w:rPr>
        <w:t>招标公告</w:t>
      </w:r>
      <w:bookmarkStart w:id="1" w:name="_Toc7265"/>
      <w:bookmarkStart w:id="2" w:name="_Toc3854"/>
      <w:bookmarkStart w:id="3" w:name="_Toc31935"/>
    </w:p>
    <w:p w14:paraId="28241C0F">
      <w:pPr>
        <w:pStyle w:val="21"/>
        <w:wordWrap w:val="0"/>
        <w:spacing w:before="0" w:beforeAutospacing="0" w:after="0" w:afterAutospacing="0" w:line="360" w:lineRule="auto"/>
        <w:ind w:firstLine="480" w:firstLineChars="200"/>
        <w:rPr>
          <w:rFonts w:ascii="宋体" w:hAnsi="宋体" w:eastAsia="宋体" w:cs="宋体"/>
          <w:color w:val="auto"/>
          <w:szCs w:val="24"/>
        </w:rPr>
      </w:pPr>
      <w:r>
        <w:rPr>
          <w:rFonts w:hint="eastAsia" w:ascii="宋体" w:hAnsi="宋体" w:eastAsia="宋体" w:cs="宋体"/>
          <w:color w:val="auto"/>
          <w:szCs w:val="24"/>
          <w:shd w:val="clear" w:color="auto" w:fill="FFFFFF"/>
        </w:rPr>
        <w:t>一、项目基本情况</w:t>
      </w:r>
    </w:p>
    <w:p w14:paraId="4402DB30">
      <w:pPr>
        <w:widowControl/>
        <w:wordWrap w:val="0"/>
        <w:spacing w:line="360" w:lineRule="auto"/>
        <w:jc w:val="left"/>
        <w:rPr>
          <w:rFonts w:ascii="宋体" w:hAnsi="宋体" w:eastAsia="宋体" w:cs="宋体"/>
          <w:color w:val="auto"/>
          <w:sz w:val="24"/>
          <w:szCs w:val="24"/>
          <w:shd w:val="clear" w:color="auto" w:fill="FFFFFF"/>
        </w:rPr>
      </w:pPr>
    </w:p>
    <w:p w14:paraId="38F646CE">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lang w:val="en-US" w:eastAsia="zh-CN"/>
        </w:rPr>
        <w:t>1.</w:t>
      </w:r>
      <w:r>
        <w:rPr>
          <w:rFonts w:hint="eastAsia" w:ascii="宋体" w:hAnsi="宋体" w:eastAsia="宋体" w:cs="宋体"/>
          <w:color w:val="auto"/>
          <w:sz w:val="24"/>
          <w:szCs w:val="24"/>
          <w:shd w:val="clear" w:color="auto" w:fill="FFFFFF"/>
        </w:rPr>
        <w:t>项目名称：</w:t>
      </w:r>
      <w:r>
        <w:rPr>
          <w:rFonts w:hint="eastAsia" w:ascii="宋体" w:hAnsi="宋体" w:eastAsia="宋体" w:cs="宋体"/>
          <w:color w:val="auto"/>
          <w:sz w:val="24"/>
          <w:szCs w:val="24"/>
          <w:lang w:eastAsia="zh-CN"/>
        </w:rPr>
        <w:t>安徽交运集团汽车销售有限公司油电混动新能源公交车全套动力电池更换采购项目</w:t>
      </w:r>
      <w:bookmarkStart w:id="158" w:name="_GoBack"/>
      <w:bookmarkEnd w:id="158"/>
      <w:r>
        <w:rPr>
          <w:rFonts w:hint="eastAsia" w:ascii="宋体" w:hAnsi="宋体" w:eastAsia="宋体" w:cs="宋体"/>
          <w:color w:val="auto"/>
          <w:sz w:val="24"/>
          <w:szCs w:val="24"/>
        </w:rPr>
        <w:t>。</w:t>
      </w:r>
    </w:p>
    <w:p w14:paraId="3FF33E69">
      <w:pPr>
        <w:widowControl/>
        <w:wordWrap w:val="0"/>
        <w:spacing w:line="360" w:lineRule="auto"/>
        <w:ind w:firstLine="480" w:firstLineChars="200"/>
        <w:jc w:val="left"/>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2.</w:t>
      </w:r>
      <w:r>
        <w:rPr>
          <w:rFonts w:hint="eastAsia" w:ascii="宋体" w:hAnsi="宋体" w:eastAsia="宋体" w:cs="宋体"/>
          <w:color w:val="auto"/>
          <w:sz w:val="24"/>
          <w:szCs w:val="24"/>
          <w:shd w:val="clear" w:color="auto" w:fill="FFFFFF"/>
        </w:rPr>
        <w:t>预算金额： 114万元</w:t>
      </w:r>
    </w:p>
    <w:p w14:paraId="35271F7F">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3.</w:t>
      </w:r>
      <w:r>
        <w:rPr>
          <w:rFonts w:hint="eastAsia" w:ascii="宋体" w:hAnsi="宋体" w:eastAsia="宋体" w:cs="宋体"/>
          <w:color w:val="auto"/>
          <w:sz w:val="24"/>
          <w:szCs w:val="24"/>
          <w:shd w:val="clear" w:color="auto" w:fill="FFFFFF"/>
        </w:rPr>
        <w:t>最高限价：</w:t>
      </w:r>
      <w:r>
        <w:rPr>
          <w:rFonts w:hint="eastAsia" w:asciiTheme="minorEastAsia" w:hAnsiTheme="minorEastAsia" w:eastAsiaTheme="minorEastAsia"/>
          <w:color w:val="auto"/>
          <w:sz w:val="24"/>
        </w:rPr>
        <w:t xml:space="preserve">每台单价最高限价为 7.6 万元，总最高限价为114 万元。投标报价不得高于最高限价及单价最高限价（详见货物需求）的，否则按无效标处理。  </w:t>
      </w:r>
    </w:p>
    <w:p w14:paraId="31D7C2ED">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lang w:val="en-US" w:eastAsia="zh-CN"/>
        </w:rPr>
        <w:t>4.</w:t>
      </w:r>
      <w:r>
        <w:rPr>
          <w:rFonts w:hint="eastAsia" w:ascii="宋体" w:hAnsi="宋体" w:eastAsia="宋体" w:cs="宋体"/>
          <w:color w:val="auto"/>
          <w:sz w:val="24"/>
          <w:szCs w:val="24"/>
          <w:shd w:val="clear" w:color="auto" w:fill="FFFFFF"/>
        </w:rPr>
        <w:t>采购需求：</w:t>
      </w:r>
      <w:r>
        <w:rPr>
          <w:rFonts w:hint="eastAsia" w:ascii="宋体" w:hAnsi="宋体" w:eastAsia="宋体" w:cs="宋体"/>
          <w:color w:val="auto"/>
          <w:sz w:val="24"/>
          <w:szCs w:val="24"/>
          <w:lang w:eastAsia="zh-CN"/>
        </w:rPr>
        <w:t>安徽交运集团汽车销售有限公司油电混动新能源公交车全套动力电池更换采购项目</w:t>
      </w:r>
      <w:r>
        <w:rPr>
          <w:rFonts w:hint="eastAsia" w:ascii="宋体" w:hAnsi="宋体" w:eastAsia="宋体" w:cs="宋体"/>
          <w:color w:val="auto"/>
          <w:sz w:val="24"/>
          <w:szCs w:val="24"/>
        </w:rPr>
        <w:t>项目</w:t>
      </w:r>
      <w:r>
        <w:rPr>
          <w:rFonts w:hint="eastAsia" w:ascii="宋体" w:hAnsi="宋体" w:eastAsia="宋体" w:cs="宋体"/>
          <w:color w:val="auto"/>
          <w:sz w:val="24"/>
          <w:szCs w:val="24"/>
          <w:shd w:val="clear" w:color="auto" w:fill="FFFFFF"/>
        </w:rPr>
        <w:t>，2016年9月底购置的15辆宇通油电混动新能源公交车需更换全套动力电池以及电池仓、高压仓灭火器四只，灭火器启动方式为温控、电控，产品质量符合国家相关标准。包含:所有车带电池均衡系统；各连接高、低压线束；高压箱；BMS；全新电池pack；各紧固件；电池箱体附件；质保服务；中标方自行与车辆厂家协商车辆有关技术对接协议；换电安装（含旧电池拆除）；试车等内容。</w:t>
      </w:r>
      <w:r>
        <w:rPr>
          <w:rFonts w:hint="eastAsia" w:asciiTheme="minorEastAsia" w:hAnsiTheme="minorEastAsia" w:eastAsiaTheme="minorEastAsia" w:cstheme="minorEastAsia"/>
          <w:color w:val="auto"/>
          <w:sz w:val="24"/>
          <w:szCs w:val="24"/>
        </w:rPr>
        <w:t>由投标人出具承诺书，承诺在合同签订前能够做到与宇通厂家有关技术的对接，若中标方无法满足上述需求，承担包括取消中标资格，没收履约保证金等相应违约责任。</w:t>
      </w:r>
    </w:p>
    <w:p w14:paraId="735BF7B3">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5.</w:t>
      </w:r>
      <w:r>
        <w:rPr>
          <w:rFonts w:hint="eastAsia" w:ascii="宋体" w:hAnsi="宋体" w:eastAsia="宋体" w:cs="宋体"/>
          <w:color w:val="auto"/>
          <w:sz w:val="24"/>
          <w:szCs w:val="24"/>
          <w:shd w:val="clear" w:color="auto" w:fill="FFFFFF"/>
        </w:rPr>
        <w:t>合同履行期限：</w:t>
      </w:r>
      <w:r>
        <w:rPr>
          <w:rFonts w:hint="eastAsia" w:asciiTheme="minorEastAsia" w:hAnsiTheme="minorEastAsia" w:eastAsiaTheme="minorEastAsia" w:cstheme="minorEastAsia"/>
          <w:color w:val="auto"/>
          <w:sz w:val="24"/>
          <w:szCs w:val="24"/>
        </w:rPr>
        <w:t>本项目在不影响采购方班次正常运行的情况下分批次实施，合同签订首付款后30个日历天内投标人完成供货并安装、调试第一台车试车验收。其它14台车更换全套动力电池工程期应在第一台试车验收完成后25个日历天内完成更换及验收。</w:t>
      </w:r>
    </w:p>
    <w:p w14:paraId="0922504F">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6.</w:t>
      </w:r>
      <w:r>
        <w:rPr>
          <w:rFonts w:hint="eastAsia" w:ascii="宋体" w:hAnsi="宋体" w:eastAsia="宋体" w:cs="宋体"/>
          <w:color w:val="auto"/>
          <w:sz w:val="24"/>
          <w:szCs w:val="24"/>
          <w:shd w:val="clear" w:color="auto" w:fill="FFFFFF"/>
        </w:rPr>
        <w:t>旧电池处置：全套动力电池换装后，原车25.53度旧动力电池由中标方负责回收，回收旧电池每度电价格不低于70元。投标人承诺的回收总价款在本项目成交货款中抵扣。</w:t>
      </w:r>
    </w:p>
    <w:p w14:paraId="6B9C84B2">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7.</w:t>
      </w:r>
      <w:r>
        <w:rPr>
          <w:rFonts w:hint="eastAsia" w:ascii="宋体" w:hAnsi="宋体" w:eastAsia="宋体" w:cs="宋体"/>
          <w:color w:val="auto"/>
          <w:sz w:val="24"/>
          <w:szCs w:val="24"/>
          <w:shd w:val="clear" w:color="auto" w:fill="FFFFFF"/>
        </w:rPr>
        <w:t>其他要求：根据</w:t>
      </w:r>
      <w:r>
        <w:rPr>
          <w:rFonts w:hint="eastAsia" w:asciiTheme="minorEastAsia" w:hAnsiTheme="minorEastAsia" w:eastAsiaTheme="minorEastAsia" w:cstheme="minorEastAsia"/>
          <w:color w:val="auto"/>
          <w:sz w:val="24"/>
          <w:szCs w:val="24"/>
        </w:rPr>
        <w:t>工信部《关于新能源城市公交车辆动力电池更换事项的公告》的规定：新能源公交车辆动力电池更换工作应在确保整车安全的前提下实施，中标单位为安全责任主体，负责更换电池的全部安全责任。</w:t>
      </w:r>
      <w:r>
        <w:rPr>
          <w:rFonts w:hint="eastAsia" w:ascii="宋体" w:hAnsi="宋体" w:eastAsia="宋体" w:cs="宋体"/>
          <w:color w:val="auto"/>
          <w:sz w:val="24"/>
          <w:szCs w:val="24"/>
          <w:shd w:val="clear" w:color="auto" w:fill="FFFFFF"/>
        </w:rPr>
        <w:t>更换的新全套动力电池应是2024年1月1日后生产的产品，满足《新能源城市公交车及动力电池更新补贴实施细则》要求，且满足GB38031-2020《电动汽车用动力蓄电池安全要求》强制性国家标准要求。对于更换动力电池，中标人应提供更换动力电池车辆的车辆识别代码、旧动力电池包数量、旧动力电池包编码，更换后的动力电池包数量、动力电池包编码、生产日期等信息以及电池更换合同（含动力电池安全合规性要求）和验收证明等佐证材料，更换电池仓、高压仓四只灭火器应符合国家相关标准，否则，不予结算款项，一切责任由中标方承担。</w:t>
      </w:r>
    </w:p>
    <w:p w14:paraId="195D9C16">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rPr>
        <w:t>本项目不接受联合体投标。</w:t>
      </w:r>
      <w:bookmarkStart w:id="4" w:name="_Toc6066"/>
      <w:bookmarkStart w:id="5" w:name="_Toc17880"/>
      <w:bookmarkStart w:id="6" w:name="_Toc28423"/>
    </w:p>
    <w:p w14:paraId="245073A1">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shd w:val="clear" w:color="auto" w:fill="FFFFFF"/>
        </w:rPr>
        <w:t>二、申请人的资格要求</w:t>
      </w:r>
      <w:bookmarkEnd w:id="4"/>
      <w:bookmarkEnd w:id="5"/>
      <w:bookmarkEnd w:id="6"/>
    </w:p>
    <w:p w14:paraId="5EB5354C">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rPr>
        <w:t>信誉要求：投标人不得存在以下情形：</w:t>
      </w:r>
    </w:p>
    <w:p w14:paraId="1FBB9B16">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①投标人被人民法院列入失信被执行人的；</w:t>
      </w:r>
    </w:p>
    <w:p w14:paraId="4D59A126">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②</w:t>
      </w:r>
      <w:r>
        <w:rPr>
          <w:rFonts w:hint="eastAsia" w:ascii="宋体" w:hAnsi="宋体" w:eastAsia="宋体" w:cs="宋体"/>
          <w:color w:val="auto"/>
          <w:sz w:val="24"/>
          <w:szCs w:val="24"/>
          <w:shd w:val="clear" w:color="auto" w:fill="FFFFFF"/>
        </w:rPr>
        <w:t>投标人或其法定代表人或拟派项目经理（项目负责人）前三年有行贿犯罪行为的；</w:t>
      </w:r>
    </w:p>
    <w:p w14:paraId="1DCF95FF">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③投标人被市场监督管理部门列入经营异常名录或者严重违法企业名单，且未被移除的；</w:t>
      </w:r>
    </w:p>
    <w:p w14:paraId="3326037C">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④投标人被税务部门列入重大税收违法案件当事人的；</w:t>
      </w:r>
    </w:p>
    <w:p w14:paraId="3B38579F">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⑤投标人被政府采购监管部门列入政府采购严重违法失信行为记录名单的；</w:t>
      </w:r>
    </w:p>
    <w:p w14:paraId="4AFC77C9">
      <w:pPr>
        <w:widowControl/>
        <w:shd w:val="clear" w:color="auto" w:fill="FFFFFF"/>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⑥在“信用中国”网站上披露仍在公示期的严重失信行为的；</w:t>
      </w:r>
    </w:p>
    <w:p w14:paraId="61400A67">
      <w:pPr>
        <w:widowControl/>
        <w:wordWrap w:val="0"/>
        <w:spacing w:line="360" w:lineRule="auto"/>
        <w:ind w:left="479" w:leftChars="228"/>
        <w:jc w:val="left"/>
        <w:rPr>
          <w:rFonts w:ascii="宋体" w:hAnsi="宋体" w:eastAsia="宋体" w:cs="宋体"/>
          <w:color w:val="auto"/>
          <w:sz w:val="24"/>
          <w:szCs w:val="24"/>
          <w:shd w:val="clear" w:color="auto" w:fill="FFFFFF"/>
        </w:rPr>
      </w:pPr>
      <w:bookmarkStart w:id="7" w:name="_Toc521"/>
      <w:bookmarkStart w:id="8" w:name="_Toc6760"/>
      <w:bookmarkStart w:id="9" w:name="_Toc30807"/>
      <w:r>
        <w:rPr>
          <w:rFonts w:hint="eastAsia" w:ascii="宋体" w:hAnsi="宋体" w:eastAsia="宋体" w:cs="宋体"/>
          <w:color w:val="auto"/>
          <w:sz w:val="24"/>
          <w:szCs w:val="24"/>
          <w:shd w:val="clear" w:color="auto" w:fill="FFFFFF"/>
        </w:rPr>
        <w:t>三、获取招标文件</w:t>
      </w:r>
      <w:bookmarkEnd w:id="7"/>
      <w:bookmarkEnd w:id="8"/>
      <w:bookmarkEnd w:id="9"/>
    </w:p>
    <w:p w14:paraId="4D2A6BBA">
      <w:pPr>
        <w:snapToGrid w:val="0"/>
        <w:spacing w:line="56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shd w:val="clear" w:color="auto" w:fill="FFFFFF"/>
        </w:rPr>
        <w:t>方式：本次采购公告在安徽交运集团网站（http://www.ahjyjt.com.cn/）上发布。</w:t>
      </w:r>
    </w:p>
    <w:p w14:paraId="091E36FB">
      <w:pPr>
        <w:pStyle w:val="4"/>
        <w:keepNext w:val="0"/>
        <w:keepLines w:val="0"/>
        <w:widowControl/>
        <w:wordWrap w:val="0"/>
        <w:spacing w:line="360" w:lineRule="auto"/>
        <w:ind w:firstLine="482"/>
        <w:jc w:val="left"/>
        <w:rPr>
          <w:rFonts w:ascii="宋体" w:hAnsi="宋体" w:eastAsia="宋体" w:cs="宋体"/>
          <w:color w:val="auto"/>
          <w:sz w:val="24"/>
          <w:szCs w:val="24"/>
        </w:rPr>
      </w:pPr>
      <w:bookmarkStart w:id="10" w:name="_Toc17340"/>
      <w:bookmarkStart w:id="11" w:name="_Toc3403"/>
      <w:bookmarkStart w:id="12" w:name="_Toc27078"/>
      <w:r>
        <w:rPr>
          <w:rFonts w:hint="eastAsia" w:ascii="宋体" w:hAnsi="宋体" w:eastAsia="宋体" w:cs="宋体"/>
          <w:color w:val="auto"/>
          <w:sz w:val="24"/>
          <w:szCs w:val="24"/>
          <w:shd w:val="clear" w:color="auto" w:fill="FFFFFF"/>
        </w:rPr>
        <w:t>四、提交投标文件截止时间、开标时间和地点</w:t>
      </w:r>
      <w:bookmarkEnd w:id="10"/>
      <w:bookmarkEnd w:id="11"/>
      <w:bookmarkEnd w:id="12"/>
    </w:p>
    <w:p w14:paraId="4B172576">
      <w:pPr>
        <w:snapToGrid w:val="0"/>
        <w:spacing w:line="560" w:lineRule="exact"/>
        <w:ind w:firstLine="420" w:firstLineChars="200"/>
        <w:rPr>
          <w:rFonts w:ascii="Times New Roman" w:hAnsi="Times New Roman" w:eastAsia="宋体" w:cs="Times New Roman"/>
          <w:szCs w:val="22"/>
          <w:highlight w:val="none"/>
        </w:rPr>
      </w:pPr>
      <w:r>
        <w:rPr>
          <w:rFonts w:ascii="Times New Roman" w:hAnsi="Times New Roman" w:eastAsia="宋体" w:cs="Times New Roman"/>
          <w:szCs w:val="22"/>
          <w:highlight w:val="none"/>
        </w:rPr>
        <w:t>响应文件递交的截止时间为</w:t>
      </w:r>
      <w:r>
        <w:rPr>
          <w:rFonts w:hint="eastAsia" w:ascii="Times New Roman" w:hAnsi="Times New Roman" w:eastAsia="宋体" w:cs="Times New Roman"/>
          <w:szCs w:val="22"/>
          <w:highlight w:val="none"/>
          <w:u w:val="single"/>
        </w:rPr>
        <w:t>20</w:t>
      </w:r>
      <w:r>
        <w:rPr>
          <w:rFonts w:hint="eastAsia" w:ascii="Times New Roman" w:hAnsi="Times New Roman" w:eastAsia="宋体" w:cs="Times New Roman"/>
          <w:szCs w:val="22"/>
          <w:highlight w:val="none"/>
          <w:u w:val="single"/>
          <w:lang w:val="en-US" w:eastAsia="zh-CN"/>
        </w:rPr>
        <w:t>24</w:t>
      </w:r>
      <w:r>
        <w:rPr>
          <w:rFonts w:ascii="Times New Roman" w:hAnsi="Times New Roman" w:eastAsia="宋体" w:cs="Times New Roman"/>
          <w:szCs w:val="22"/>
          <w:highlight w:val="none"/>
        </w:rPr>
        <w:t>年</w:t>
      </w:r>
      <w:r>
        <w:rPr>
          <w:rFonts w:hint="eastAsia" w:ascii="Times New Roman" w:hAnsi="Times New Roman" w:eastAsia="宋体" w:cs="Times New Roman"/>
          <w:szCs w:val="22"/>
          <w:highlight w:val="none"/>
          <w:u w:val="single"/>
        </w:rPr>
        <w:t xml:space="preserve"> </w:t>
      </w:r>
      <w:r>
        <w:rPr>
          <w:rFonts w:hint="eastAsia" w:ascii="Times New Roman" w:hAnsi="Times New Roman" w:eastAsia="宋体" w:cs="Times New Roman"/>
          <w:szCs w:val="22"/>
          <w:highlight w:val="none"/>
          <w:u w:val="single"/>
          <w:lang w:val="en-US" w:eastAsia="zh-CN"/>
        </w:rPr>
        <w:t>11</w:t>
      </w:r>
      <w:r>
        <w:rPr>
          <w:rFonts w:hint="eastAsia" w:ascii="Times New Roman" w:hAnsi="Times New Roman" w:eastAsia="宋体" w:cs="Times New Roman"/>
          <w:szCs w:val="22"/>
          <w:highlight w:val="none"/>
          <w:u w:val="single"/>
        </w:rPr>
        <w:t xml:space="preserve"> </w:t>
      </w:r>
      <w:r>
        <w:rPr>
          <w:rFonts w:ascii="Times New Roman" w:hAnsi="Times New Roman" w:eastAsia="宋体" w:cs="Times New Roman"/>
          <w:szCs w:val="22"/>
          <w:highlight w:val="none"/>
        </w:rPr>
        <w:t>月</w:t>
      </w:r>
      <w:r>
        <w:rPr>
          <w:rFonts w:hint="eastAsia" w:ascii="Times New Roman" w:hAnsi="Times New Roman" w:eastAsia="宋体" w:cs="Times New Roman"/>
          <w:szCs w:val="22"/>
          <w:highlight w:val="none"/>
          <w:u w:val="single"/>
        </w:rPr>
        <w:t xml:space="preserve"> </w:t>
      </w:r>
      <w:r>
        <w:rPr>
          <w:rFonts w:hint="eastAsia" w:ascii="Times New Roman" w:hAnsi="Times New Roman" w:eastAsia="宋体" w:cs="Times New Roman"/>
          <w:szCs w:val="22"/>
          <w:highlight w:val="none"/>
          <w:u w:val="single"/>
          <w:lang w:val="en-US" w:eastAsia="zh-CN"/>
        </w:rPr>
        <w:t>5</w:t>
      </w:r>
      <w:r>
        <w:rPr>
          <w:rFonts w:hint="eastAsia" w:ascii="Times New Roman" w:hAnsi="Times New Roman" w:eastAsia="宋体" w:cs="Times New Roman"/>
          <w:szCs w:val="22"/>
          <w:highlight w:val="none"/>
          <w:u w:val="single"/>
        </w:rPr>
        <w:t xml:space="preserve"> </w:t>
      </w:r>
      <w:r>
        <w:rPr>
          <w:rFonts w:ascii="Times New Roman" w:hAnsi="Times New Roman" w:eastAsia="宋体" w:cs="Times New Roman"/>
          <w:szCs w:val="22"/>
          <w:highlight w:val="none"/>
        </w:rPr>
        <w:t>日</w:t>
      </w:r>
      <w:r>
        <w:rPr>
          <w:rFonts w:hint="eastAsia" w:ascii="Times New Roman" w:hAnsi="Times New Roman" w:eastAsia="宋体" w:cs="Times New Roman"/>
          <w:szCs w:val="22"/>
          <w:highlight w:val="none"/>
          <w:u w:val="single"/>
        </w:rPr>
        <w:t xml:space="preserve"> 10 </w:t>
      </w:r>
      <w:r>
        <w:rPr>
          <w:rFonts w:ascii="Times New Roman" w:hAnsi="Times New Roman" w:eastAsia="宋体" w:cs="Times New Roman"/>
          <w:szCs w:val="22"/>
          <w:highlight w:val="none"/>
        </w:rPr>
        <w:t>时</w:t>
      </w:r>
      <w:r>
        <w:rPr>
          <w:rFonts w:hint="eastAsia" w:ascii="Times New Roman" w:hAnsi="Times New Roman" w:eastAsia="宋体" w:cs="Times New Roman"/>
          <w:szCs w:val="22"/>
          <w:highlight w:val="none"/>
          <w:u w:val="single"/>
        </w:rPr>
        <w:t>00</w:t>
      </w:r>
      <w:r>
        <w:rPr>
          <w:rFonts w:ascii="Times New Roman" w:hAnsi="Times New Roman" w:eastAsia="宋体" w:cs="Times New Roman"/>
          <w:szCs w:val="22"/>
          <w:highlight w:val="none"/>
        </w:rPr>
        <w:t>分，供应商的法定代表人或其授权代理人应于截止时间前将响应文件</w:t>
      </w:r>
      <w:r>
        <w:rPr>
          <w:rFonts w:hint="eastAsia" w:ascii="Times New Roman" w:hAnsi="Times New Roman" w:eastAsia="宋体" w:cs="Times New Roman"/>
          <w:szCs w:val="22"/>
          <w:highlight w:val="none"/>
        </w:rPr>
        <w:t>递交至</w:t>
      </w:r>
      <w:r>
        <w:rPr>
          <w:rFonts w:hint="eastAsia" w:ascii="Times New Roman" w:hAnsi="Times New Roman" w:eastAsia="宋体" w:cs="Times New Roman"/>
          <w:szCs w:val="22"/>
          <w:highlight w:val="none"/>
          <w:u w:val="single"/>
        </w:rPr>
        <w:t>合肥市胜利路35号，交通饭店三楼汽车销售有限公司</w:t>
      </w:r>
      <w:r>
        <w:rPr>
          <w:rFonts w:ascii="Times New Roman" w:hAnsi="Times New Roman" w:eastAsia="宋体" w:cs="Times New Roman"/>
          <w:szCs w:val="22"/>
          <w:highlight w:val="none"/>
        </w:rPr>
        <w:t>（地点）。</w:t>
      </w:r>
    </w:p>
    <w:p w14:paraId="4D1CADD2">
      <w:pPr>
        <w:pStyle w:val="4"/>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13" w:name="_Toc28669"/>
      <w:bookmarkStart w:id="14" w:name="_Toc32180"/>
      <w:bookmarkStart w:id="15" w:name="_Toc28572"/>
      <w:r>
        <w:rPr>
          <w:rFonts w:hint="eastAsia" w:ascii="宋体" w:hAnsi="宋体" w:eastAsia="宋体" w:cs="宋体"/>
          <w:color w:val="auto"/>
          <w:sz w:val="24"/>
          <w:szCs w:val="24"/>
          <w:shd w:val="clear" w:color="auto" w:fill="FFFFFF"/>
        </w:rPr>
        <w:t>五、</w:t>
      </w:r>
      <w:bookmarkEnd w:id="13"/>
      <w:bookmarkEnd w:id="14"/>
      <w:bookmarkEnd w:id="15"/>
      <w:r>
        <w:rPr>
          <w:rFonts w:hint="eastAsia" w:ascii="宋体" w:hAnsi="宋体" w:eastAsia="宋体" w:cs="宋体"/>
          <w:color w:val="auto"/>
          <w:sz w:val="24"/>
          <w:szCs w:val="24"/>
          <w:shd w:val="clear" w:color="auto" w:fill="FFFFFF"/>
        </w:rPr>
        <w:t>响应文件启封</w:t>
      </w:r>
    </w:p>
    <w:p w14:paraId="517AD9C1">
      <w:pPr>
        <w:snapToGrid w:val="0"/>
        <w:spacing w:line="560" w:lineRule="exact"/>
        <w:ind w:firstLine="420" w:firstLineChars="200"/>
        <w:rPr>
          <w:rFonts w:ascii="宋体" w:hAnsi="宋体" w:eastAsia="宋体" w:cs="宋体"/>
          <w:color w:val="auto"/>
          <w:sz w:val="24"/>
          <w:szCs w:val="24"/>
        </w:rPr>
      </w:pPr>
      <w:r>
        <w:rPr>
          <w:rFonts w:ascii="Times New Roman" w:hAnsi="Times New Roman" w:eastAsia="宋体" w:cs="Times New Roman"/>
          <w:szCs w:val="22"/>
        </w:rPr>
        <w:t>响应文件的递交截止时间到后，采购人将于</w:t>
      </w:r>
      <w:r>
        <w:rPr>
          <w:rFonts w:hint="eastAsia" w:ascii="Times New Roman" w:hAnsi="Times New Roman" w:eastAsia="宋体" w:cs="Times New Roman"/>
          <w:szCs w:val="22"/>
          <w:u w:val="single"/>
        </w:rPr>
        <w:t>交通饭店三楼会议室</w:t>
      </w:r>
      <w:r>
        <w:rPr>
          <w:rFonts w:ascii="Times New Roman" w:hAnsi="Times New Roman" w:eastAsia="宋体" w:cs="Times New Roman"/>
          <w:szCs w:val="22"/>
        </w:rPr>
        <w:t>（地点）组织进行响应文件的启封。供应商的法定代表人或授权代理人应携带本人身份证</w:t>
      </w:r>
      <w:r>
        <w:rPr>
          <w:rFonts w:hint="eastAsia" w:ascii="Times New Roman" w:hAnsi="Times New Roman" w:eastAsia="宋体" w:cs="Times New Roman"/>
          <w:szCs w:val="22"/>
        </w:rPr>
        <w:t>、授权代理人应携带授权委托书</w:t>
      </w:r>
      <w:r>
        <w:rPr>
          <w:rFonts w:ascii="Times New Roman" w:hAnsi="Times New Roman" w:eastAsia="宋体" w:cs="Times New Roman"/>
          <w:szCs w:val="22"/>
        </w:rPr>
        <w:t>准时参加启封会议。</w:t>
      </w:r>
    </w:p>
    <w:p w14:paraId="7253243E">
      <w:pPr>
        <w:pStyle w:val="4"/>
        <w:keepNext w:val="0"/>
        <w:keepLines w:val="0"/>
        <w:widowControl/>
        <w:wordWrap w:val="0"/>
        <w:spacing w:line="360" w:lineRule="auto"/>
        <w:ind w:firstLine="482" w:firstLineChars="200"/>
        <w:jc w:val="left"/>
        <w:rPr>
          <w:rFonts w:ascii="宋体" w:hAnsi="宋体" w:eastAsia="宋体" w:cs="宋体"/>
          <w:color w:val="auto"/>
          <w:sz w:val="24"/>
          <w:szCs w:val="24"/>
          <w:highlight w:val="yellow"/>
          <w:shd w:val="clear" w:color="auto" w:fill="FFFFFF"/>
        </w:rPr>
      </w:pPr>
      <w:bookmarkStart w:id="16" w:name="_Toc2292"/>
      <w:bookmarkStart w:id="17" w:name="_Toc25311"/>
      <w:bookmarkStart w:id="18" w:name="_Toc23195"/>
      <w:r>
        <w:rPr>
          <w:rFonts w:hint="eastAsia" w:ascii="宋体" w:hAnsi="宋体" w:eastAsia="宋体" w:cs="宋体"/>
          <w:color w:val="auto"/>
          <w:sz w:val="24"/>
          <w:szCs w:val="24"/>
          <w:highlight w:val="yellow"/>
          <w:shd w:val="clear" w:color="auto" w:fill="FFFFFF"/>
        </w:rPr>
        <w:t>六、投标保证金</w:t>
      </w:r>
      <w:bookmarkEnd w:id="16"/>
      <w:bookmarkEnd w:id="17"/>
      <w:bookmarkEnd w:id="18"/>
    </w:p>
    <w:p w14:paraId="417501A1">
      <w:pPr>
        <w:widowControl w:val="0"/>
        <w:spacing w:after="120"/>
        <w:ind w:firstLine="420" w:firstLineChars="200"/>
        <w:jc w:val="both"/>
        <w:rPr>
          <w:rFonts w:ascii="Times New Roman" w:hAnsi="Times New Roman" w:eastAsia="宋体" w:cs="Times New Roman"/>
          <w:kern w:val="2"/>
          <w:sz w:val="21"/>
          <w:szCs w:val="24"/>
          <w:highlight w:val="yellow"/>
          <w:lang w:val="en-US" w:eastAsia="zh-CN" w:bidi="ar-SA"/>
        </w:rPr>
      </w:pPr>
      <w:r>
        <w:rPr>
          <w:rFonts w:hint="eastAsia" w:ascii="Times New Roman" w:hAnsi="Times New Roman" w:eastAsia="宋体" w:cs="Times New Roman"/>
          <w:kern w:val="2"/>
          <w:sz w:val="21"/>
          <w:szCs w:val="24"/>
          <w:highlight w:val="yellow"/>
          <w:lang w:val="en-US" w:eastAsia="zh-CN" w:bidi="ar-SA"/>
        </w:rPr>
        <w:t>本项目无响应保证金，需发响应报名表进行报名。</w:t>
      </w:r>
    </w:p>
    <w:p w14:paraId="72EBD493">
      <w:pPr>
        <w:spacing w:line="360" w:lineRule="auto"/>
        <w:ind w:firstLine="482"/>
        <w:outlineLvl w:val="1"/>
        <w:rPr>
          <w:rFonts w:ascii="宋体" w:hAnsi="宋体" w:eastAsia="宋体"/>
          <w:b/>
          <w:bCs/>
          <w:color w:val="auto"/>
          <w:sz w:val="24"/>
          <w:szCs w:val="18"/>
        </w:rPr>
      </w:pPr>
      <w:r>
        <w:rPr>
          <w:rFonts w:hint="eastAsia" w:ascii="宋体" w:hAnsi="宋体" w:eastAsia="宋体"/>
          <w:b/>
          <w:bCs/>
          <w:color w:val="auto"/>
          <w:sz w:val="24"/>
          <w:szCs w:val="18"/>
          <w:lang w:val="en-US" w:eastAsia="zh-CN"/>
        </w:rPr>
        <w:t>七</w:t>
      </w:r>
      <w:r>
        <w:rPr>
          <w:rFonts w:hint="eastAsia" w:ascii="宋体" w:hAnsi="宋体" w:eastAsia="宋体"/>
          <w:b/>
          <w:bCs/>
          <w:color w:val="auto"/>
          <w:sz w:val="24"/>
          <w:szCs w:val="18"/>
        </w:rPr>
        <w:t>、</w:t>
      </w:r>
      <w:bookmarkEnd w:id="1"/>
      <w:r>
        <w:rPr>
          <w:rFonts w:hint="eastAsia" w:ascii="宋体" w:hAnsi="宋体" w:eastAsia="宋体"/>
          <w:b/>
          <w:bCs/>
          <w:color w:val="auto"/>
          <w:sz w:val="24"/>
          <w:szCs w:val="18"/>
        </w:rPr>
        <w:t>对本次招标提出询问，请按以下方式联系</w:t>
      </w:r>
      <w:bookmarkEnd w:id="2"/>
    </w:p>
    <w:p w14:paraId="53717D5F">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采购人：</w:t>
      </w:r>
      <w:r>
        <w:rPr>
          <w:rFonts w:hint="eastAsia" w:ascii="Times New Roman" w:hAnsi="Times New Roman" w:eastAsia="宋体" w:cs="Times New Roman"/>
          <w:szCs w:val="22"/>
          <w:u w:val="single"/>
        </w:rPr>
        <w:t>安徽交运集团汽车销售有限公司</w:t>
      </w:r>
    </w:p>
    <w:p w14:paraId="38C7343A">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地</w:t>
      </w:r>
      <w:r>
        <w:rPr>
          <w:rFonts w:hint="eastAsia" w:ascii="Times New Roman" w:hAnsi="Times New Roman" w:eastAsia="宋体" w:cs="Times New Roman"/>
          <w:szCs w:val="22"/>
        </w:rPr>
        <w:t xml:space="preserve">  </w:t>
      </w:r>
      <w:r>
        <w:rPr>
          <w:rFonts w:ascii="Times New Roman" w:hAnsi="Times New Roman" w:eastAsia="宋体" w:cs="Times New Roman"/>
          <w:szCs w:val="22"/>
        </w:rPr>
        <w:t>址：</w:t>
      </w:r>
      <w:r>
        <w:rPr>
          <w:rFonts w:hint="eastAsia" w:ascii="Times New Roman" w:hAnsi="Times New Roman" w:eastAsia="宋体" w:cs="Times New Roman"/>
          <w:szCs w:val="22"/>
          <w:u w:val="single"/>
        </w:rPr>
        <w:t>合肥市胜利路35号交通饭店</w:t>
      </w:r>
    </w:p>
    <w:p w14:paraId="45503760">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邮政编码：</w:t>
      </w:r>
      <w:r>
        <w:rPr>
          <w:rFonts w:hint="eastAsia" w:ascii="Times New Roman" w:hAnsi="Times New Roman" w:eastAsia="宋体" w:cs="Times New Roman"/>
          <w:szCs w:val="22"/>
          <w:u w:val="single"/>
        </w:rPr>
        <w:t>230011</w:t>
      </w:r>
    </w:p>
    <w:p w14:paraId="352F058F">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联系人：</w:t>
      </w:r>
      <w:r>
        <w:rPr>
          <w:rFonts w:hint="eastAsia" w:ascii="Times New Roman" w:hAnsi="Times New Roman" w:eastAsia="宋体" w:cs="Times New Roman"/>
          <w:szCs w:val="22"/>
          <w:u w:val="single"/>
        </w:rPr>
        <w:t>张经理</w:t>
      </w:r>
    </w:p>
    <w:p w14:paraId="3B195620">
      <w:pPr>
        <w:spacing w:line="560" w:lineRule="exact"/>
        <w:ind w:firstLine="420" w:firstLineChars="200"/>
        <w:rPr>
          <w:rFonts w:ascii="Times New Roman" w:hAnsi="Times New Roman" w:eastAsia="宋体" w:cs="Times New Roman"/>
          <w:szCs w:val="22"/>
          <w:u w:val="single"/>
        </w:rPr>
      </w:pPr>
      <w:r>
        <w:rPr>
          <w:rFonts w:ascii="Times New Roman" w:hAnsi="Times New Roman" w:eastAsia="宋体" w:cs="Times New Roman"/>
          <w:szCs w:val="22"/>
        </w:rPr>
        <w:t>电话：</w:t>
      </w:r>
      <w:r>
        <w:rPr>
          <w:rFonts w:hint="eastAsia" w:ascii="Times New Roman" w:hAnsi="Times New Roman" w:eastAsia="宋体" w:cs="Times New Roman"/>
          <w:szCs w:val="22"/>
          <w:u w:val="single"/>
        </w:rPr>
        <w:t xml:space="preserve">0551-64299058   </w:t>
      </w:r>
    </w:p>
    <w:p w14:paraId="1850AA4A">
      <w:pPr>
        <w:spacing w:line="560" w:lineRule="exact"/>
        <w:ind w:firstLine="420" w:firstLineChars="200"/>
        <w:rPr>
          <w:rFonts w:hint="eastAsia" w:ascii="Times New Roman" w:hAnsi="Times New Roman" w:eastAsia="宋体" w:cs="Times New Roman"/>
          <w:szCs w:val="22"/>
        </w:rPr>
      </w:pPr>
      <w:r>
        <w:rPr>
          <w:rFonts w:ascii="Times New Roman" w:hAnsi="Times New Roman" w:eastAsia="宋体" w:cs="Times New Roman"/>
          <w:szCs w:val="22"/>
        </w:rPr>
        <w:t>电子邮箱：</w:t>
      </w:r>
      <w:r>
        <w:rPr>
          <w:rFonts w:ascii="Calibri" w:hAnsi="Calibri" w:eastAsia="宋体" w:cs="Times New Roman"/>
          <w:szCs w:val="24"/>
        </w:rPr>
        <w:fldChar w:fldCharType="begin"/>
      </w:r>
      <w:r>
        <w:rPr>
          <w:rFonts w:ascii="Calibri" w:hAnsi="Calibri" w:eastAsia="宋体" w:cs="Times New Roman"/>
          <w:szCs w:val="24"/>
        </w:rPr>
        <w:instrText xml:space="preserve"> HYPERLINK "mailto:ahjyxs@163.com" </w:instrText>
      </w:r>
      <w:r>
        <w:rPr>
          <w:rFonts w:ascii="Calibri" w:hAnsi="Calibri" w:eastAsia="宋体" w:cs="Times New Roman"/>
          <w:szCs w:val="24"/>
        </w:rPr>
        <w:fldChar w:fldCharType="separate"/>
      </w:r>
      <w:r>
        <w:rPr>
          <w:rFonts w:hint="eastAsia" w:ascii="Times New Roman" w:hAnsi="Times New Roman" w:eastAsia="宋体" w:cs="Times New Roman"/>
          <w:color w:val="0000FF"/>
          <w:szCs w:val="22"/>
          <w:u w:val="single"/>
        </w:rPr>
        <w:t>ahjyxs@163.com</w:t>
      </w:r>
      <w:r>
        <w:rPr>
          <w:rFonts w:hint="eastAsia" w:ascii="Times New Roman" w:hAnsi="Times New Roman" w:eastAsia="宋体" w:cs="Times New Roman"/>
          <w:color w:val="0000FF"/>
          <w:szCs w:val="22"/>
          <w:u w:val="single"/>
        </w:rPr>
        <w:fldChar w:fldCharType="end"/>
      </w:r>
    </w:p>
    <w:p w14:paraId="3D57C347">
      <w:pPr>
        <w:spacing w:line="360" w:lineRule="auto"/>
        <w:ind w:firstLine="562"/>
        <w:jc w:val="center"/>
        <w:outlineLvl w:val="0"/>
        <w:rPr>
          <w:rFonts w:asciiTheme="minorEastAsia" w:hAnsiTheme="minorEastAsia" w:eastAsiaTheme="minorEastAsia"/>
          <w:b/>
          <w:color w:val="auto"/>
          <w:sz w:val="28"/>
        </w:rPr>
      </w:pPr>
    </w:p>
    <w:p w14:paraId="5D7C909A">
      <w:pPr>
        <w:spacing w:line="360" w:lineRule="auto"/>
        <w:ind w:firstLine="562"/>
        <w:jc w:val="center"/>
        <w:outlineLvl w:val="0"/>
        <w:rPr>
          <w:rFonts w:asciiTheme="minorEastAsia" w:hAnsiTheme="minorEastAsia" w:eastAsiaTheme="minorEastAsia"/>
          <w:b/>
          <w:color w:val="auto"/>
          <w:sz w:val="28"/>
        </w:rPr>
      </w:pPr>
    </w:p>
    <w:p w14:paraId="3BAFBEF3">
      <w:pPr>
        <w:snapToGrid w:val="0"/>
        <w:spacing w:line="560" w:lineRule="exact"/>
        <w:ind w:firstLine="420" w:firstLineChars="200"/>
        <w:jc w:val="right"/>
        <w:rPr>
          <w:rFonts w:hint="eastAsia" w:ascii="Times New Roman" w:hAnsi="Times New Roman" w:eastAsia="宋体" w:cs="Times New Roman"/>
          <w:szCs w:val="22"/>
        </w:rPr>
      </w:pPr>
      <w:r>
        <w:rPr>
          <w:rFonts w:hint="eastAsia" w:ascii="Times New Roman" w:hAnsi="Times New Roman" w:eastAsia="宋体" w:cs="Times New Roman"/>
          <w:szCs w:val="22"/>
        </w:rPr>
        <w:t>202</w:t>
      </w:r>
      <w:r>
        <w:rPr>
          <w:rFonts w:hint="eastAsia" w:ascii="Times New Roman" w:hAnsi="Times New Roman" w:eastAsia="宋体" w:cs="Times New Roman"/>
          <w:szCs w:val="22"/>
          <w:lang w:val="en-US" w:eastAsia="zh-CN"/>
        </w:rPr>
        <w:t>4</w:t>
      </w:r>
      <w:r>
        <w:rPr>
          <w:rFonts w:hint="eastAsia" w:ascii="Times New Roman" w:hAnsi="Times New Roman" w:eastAsia="宋体" w:cs="Times New Roman"/>
          <w:szCs w:val="22"/>
        </w:rPr>
        <w:t xml:space="preserve"> </w:t>
      </w:r>
      <w:r>
        <w:rPr>
          <w:rFonts w:hint="default" w:ascii="Times New Roman" w:hAnsi="Times New Roman" w:eastAsia="宋体" w:cs="Times New Roman"/>
          <w:szCs w:val="22"/>
        </w:rPr>
        <w:t>年</w:t>
      </w:r>
      <w:r>
        <w:rPr>
          <w:rFonts w:hint="eastAsia" w:ascii="Times New Roman" w:hAnsi="Times New Roman" w:eastAsia="宋体" w:cs="Times New Roman"/>
          <w:szCs w:val="22"/>
          <w:lang w:val="en-US" w:eastAsia="zh-CN"/>
        </w:rPr>
        <w:t xml:space="preserve"> 10</w:t>
      </w:r>
      <w:r>
        <w:rPr>
          <w:rFonts w:hint="default" w:ascii="Times New Roman" w:hAnsi="Times New Roman" w:eastAsia="宋体" w:cs="Times New Roman"/>
          <w:szCs w:val="22"/>
        </w:rPr>
        <w:t>月</w:t>
      </w:r>
      <w:r>
        <w:rPr>
          <w:rFonts w:hint="eastAsia" w:ascii="Times New Roman" w:hAnsi="Times New Roman" w:eastAsia="宋体" w:cs="Times New Roman"/>
          <w:szCs w:val="22"/>
        </w:rPr>
        <w:t xml:space="preserve"> </w:t>
      </w:r>
      <w:r>
        <w:rPr>
          <w:rFonts w:hint="eastAsia" w:ascii="Times New Roman" w:hAnsi="Times New Roman" w:eastAsia="宋体" w:cs="Times New Roman"/>
          <w:szCs w:val="22"/>
          <w:lang w:val="en-US" w:eastAsia="zh-CN"/>
        </w:rPr>
        <w:t>29</w:t>
      </w:r>
      <w:r>
        <w:rPr>
          <w:rFonts w:hint="eastAsia" w:ascii="Times New Roman" w:hAnsi="Times New Roman" w:eastAsia="宋体" w:cs="Times New Roman"/>
          <w:szCs w:val="22"/>
        </w:rPr>
        <w:t xml:space="preserve"> </w:t>
      </w:r>
      <w:r>
        <w:rPr>
          <w:rFonts w:hint="default" w:ascii="Times New Roman" w:hAnsi="Times New Roman" w:eastAsia="宋体" w:cs="Times New Roman"/>
          <w:szCs w:val="22"/>
        </w:rPr>
        <w:t>日</w:t>
      </w:r>
    </w:p>
    <w:p w14:paraId="20AFB9B2">
      <w:pPr>
        <w:spacing w:line="360" w:lineRule="auto"/>
        <w:ind w:firstLine="562"/>
        <w:jc w:val="center"/>
        <w:outlineLvl w:val="0"/>
        <w:rPr>
          <w:rFonts w:asciiTheme="minorEastAsia" w:hAnsiTheme="minorEastAsia" w:eastAsiaTheme="minorEastAsia"/>
          <w:b/>
          <w:color w:val="auto"/>
          <w:sz w:val="28"/>
        </w:rPr>
      </w:pPr>
    </w:p>
    <w:p w14:paraId="1FDA8221">
      <w:pPr>
        <w:pStyle w:val="2"/>
        <w:rPr>
          <w:rFonts w:asciiTheme="minorEastAsia" w:hAnsiTheme="minorEastAsia" w:eastAsiaTheme="minorEastAsia"/>
          <w:b/>
          <w:color w:val="auto"/>
          <w:sz w:val="28"/>
        </w:rPr>
      </w:pPr>
    </w:p>
    <w:p w14:paraId="79C2CD2D">
      <w:pPr>
        <w:pStyle w:val="2"/>
        <w:rPr>
          <w:rFonts w:asciiTheme="minorEastAsia" w:hAnsiTheme="minorEastAsia" w:eastAsiaTheme="minorEastAsia"/>
          <w:b/>
          <w:color w:val="auto"/>
          <w:sz w:val="28"/>
        </w:rPr>
      </w:pPr>
    </w:p>
    <w:p w14:paraId="48EFC793">
      <w:pPr>
        <w:rPr>
          <w:rFonts w:asciiTheme="minorEastAsia" w:hAnsiTheme="minorEastAsia" w:eastAsiaTheme="minorEastAsia"/>
          <w:b/>
          <w:color w:val="auto"/>
          <w:sz w:val="28"/>
        </w:rPr>
      </w:pPr>
    </w:p>
    <w:p w14:paraId="0FC7DC0D">
      <w:pPr>
        <w:pStyle w:val="2"/>
        <w:rPr>
          <w:rFonts w:asciiTheme="minorEastAsia" w:hAnsiTheme="minorEastAsia" w:eastAsiaTheme="minorEastAsia"/>
          <w:b/>
          <w:color w:val="auto"/>
          <w:sz w:val="28"/>
        </w:rPr>
      </w:pPr>
    </w:p>
    <w:p w14:paraId="610A3361">
      <w:pPr>
        <w:rPr>
          <w:rFonts w:asciiTheme="minorEastAsia" w:hAnsiTheme="minorEastAsia" w:eastAsiaTheme="minorEastAsia"/>
          <w:b/>
          <w:color w:val="auto"/>
          <w:sz w:val="28"/>
        </w:rPr>
      </w:pPr>
    </w:p>
    <w:p w14:paraId="57D234B5">
      <w:pPr>
        <w:pStyle w:val="2"/>
        <w:rPr>
          <w:rFonts w:asciiTheme="minorEastAsia" w:hAnsiTheme="minorEastAsia" w:eastAsiaTheme="minorEastAsia"/>
          <w:b/>
          <w:color w:val="auto"/>
          <w:sz w:val="28"/>
        </w:rPr>
      </w:pPr>
    </w:p>
    <w:p w14:paraId="534C9668">
      <w:pPr>
        <w:rPr>
          <w:rFonts w:asciiTheme="minorEastAsia" w:hAnsiTheme="minorEastAsia" w:eastAsiaTheme="minorEastAsia"/>
          <w:b/>
          <w:color w:val="auto"/>
          <w:sz w:val="28"/>
        </w:rPr>
      </w:pPr>
    </w:p>
    <w:p w14:paraId="6D836F63">
      <w:pPr>
        <w:pStyle w:val="2"/>
      </w:pPr>
    </w:p>
    <w:p w14:paraId="0167C04E">
      <w:pPr>
        <w:rPr>
          <w:rFonts w:asciiTheme="minorEastAsia" w:hAnsiTheme="minorEastAsia" w:eastAsiaTheme="minorEastAsia"/>
          <w:b/>
          <w:color w:val="auto"/>
          <w:sz w:val="28"/>
        </w:rPr>
      </w:pPr>
    </w:p>
    <w:p w14:paraId="4F105664">
      <w:pPr>
        <w:pStyle w:val="2"/>
      </w:pPr>
    </w:p>
    <w:p w14:paraId="3913E017"/>
    <w:p w14:paraId="65E9A48B">
      <w:pPr>
        <w:spacing w:line="360" w:lineRule="auto"/>
        <w:jc w:val="center"/>
        <w:rPr>
          <w:rFonts w:ascii="Calibri" w:hAnsi="Calibri" w:eastAsia="宋体" w:cs="Times New Roman"/>
          <w:b/>
          <w:sz w:val="36"/>
          <w:szCs w:val="36"/>
        </w:rPr>
      </w:pPr>
      <w:r>
        <w:rPr>
          <w:rFonts w:hint="eastAsia" w:ascii="Calibri" w:hAnsi="Calibri" w:eastAsia="宋体" w:cs="Times New Roman"/>
          <w:b/>
          <w:sz w:val="36"/>
          <w:szCs w:val="36"/>
        </w:rPr>
        <w:t>响 应 报 名 表</w:t>
      </w:r>
    </w:p>
    <w:p w14:paraId="266430B6">
      <w:pPr>
        <w:widowControl w:val="0"/>
        <w:spacing w:after="120"/>
        <w:jc w:val="both"/>
        <w:rPr>
          <w:rFonts w:ascii="Calibri" w:hAnsi="Calibri" w:eastAsia="宋体" w:cs="Times New Roman"/>
          <w:kern w:val="2"/>
          <w:sz w:val="21"/>
          <w:szCs w:val="24"/>
          <w:lang w:val="en-US" w:eastAsia="zh-CN" w:bidi="ar-SA"/>
        </w:rPr>
      </w:pPr>
    </w:p>
    <w:p w14:paraId="6037316E">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25"/>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31F36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42E7C2F7">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0AFA3FCC">
            <w:pPr>
              <w:snapToGrid w:val="0"/>
              <w:spacing w:line="380" w:lineRule="exact"/>
              <w:jc w:val="center"/>
              <w:rPr>
                <w:rFonts w:ascii="宋体" w:hAnsi="宋体" w:eastAsia="宋体" w:cs="宋体"/>
                <w:bCs/>
                <w:szCs w:val="21"/>
              </w:rPr>
            </w:pPr>
          </w:p>
        </w:tc>
      </w:tr>
      <w:tr w14:paraId="2BD05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44EB092">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1B192546">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1CFB95E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19993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5139EE4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02B8C965">
            <w:pPr>
              <w:spacing w:line="360" w:lineRule="exact"/>
              <w:rPr>
                <w:rFonts w:ascii="宋体" w:hAnsi="宋体" w:eastAsia="宋体" w:cs="宋体"/>
                <w:bCs/>
                <w:szCs w:val="21"/>
              </w:rPr>
            </w:pPr>
          </w:p>
        </w:tc>
      </w:tr>
      <w:tr w14:paraId="672E2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DE58F77">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0CCE966">
            <w:pPr>
              <w:spacing w:line="360" w:lineRule="exact"/>
              <w:rPr>
                <w:rFonts w:ascii="宋体" w:hAnsi="宋体" w:eastAsia="宋体" w:cs="宋体"/>
                <w:bCs/>
                <w:szCs w:val="21"/>
              </w:rPr>
            </w:pPr>
          </w:p>
        </w:tc>
        <w:tc>
          <w:tcPr>
            <w:tcW w:w="1506" w:type="dxa"/>
            <w:vAlign w:val="center"/>
          </w:tcPr>
          <w:p w14:paraId="2D83A094">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74B8B99A">
            <w:pPr>
              <w:spacing w:line="360" w:lineRule="exact"/>
              <w:rPr>
                <w:rFonts w:ascii="宋体" w:hAnsi="宋体" w:eastAsia="宋体" w:cs="宋体"/>
                <w:bCs/>
                <w:szCs w:val="21"/>
              </w:rPr>
            </w:pPr>
          </w:p>
        </w:tc>
      </w:tr>
      <w:tr w14:paraId="0D37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339C49B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360BC9AE">
            <w:pPr>
              <w:spacing w:line="360" w:lineRule="exact"/>
              <w:rPr>
                <w:rFonts w:ascii="宋体" w:hAnsi="宋体" w:eastAsia="宋体" w:cs="宋体"/>
                <w:bCs/>
                <w:szCs w:val="21"/>
              </w:rPr>
            </w:pPr>
          </w:p>
        </w:tc>
        <w:tc>
          <w:tcPr>
            <w:tcW w:w="1506" w:type="dxa"/>
            <w:vAlign w:val="center"/>
          </w:tcPr>
          <w:p w14:paraId="436FDAD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96A7186">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52A6A21B">
            <w:pPr>
              <w:spacing w:line="360" w:lineRule="exact"/>
              <w:rPr>
                <w:rFonts w:ascii="宋体" w:hAnsi="宋体" w:eastAsia="宋体" w:cs="宋体"/>
                <w:bCs/>
                <w:szCs w:val="21"/>
              </w:rPr>
            </w:pPr>
          </w:p>
        </w:tc>
      </w:tr>
      <w:tr w14:paraId="79564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3318A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D5AFEFE">
            <w:pPr>
              <w:spacing w:line="360" w:lineRule="exact"/>
              <w:rPr>
                <w:rFonts w:ascii="宋体" w:hAnsi="宋体" w:eastAsia="宋体" w:cs="宋体"/>
                <w:bCs/>
                <w:szCs w:val="21"/>
              </w:rPr>
            </w:pPr>
          </w:p>
        </w:tc>
        <w:tc>
          <w:tcPr>
            <w:tcW w:w="1506" w:type="dxa"/>
            <w:vAlign w:val="center"/>
          </w:tcPr>
          <w:p w14:paraId="26696C94">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6C1D5824">
            <w:pPr>
              <w:spacing w:line="360" w:lineRule="exact"/>
              <w:rPr>
                <w:rFonts w:ascii="宋体" w:hAnsi="宋体" w:eastAsia="宋体" w:cs="宋体"/>
                <w:bCs/>
                <w:szCs w:val="21"/>
              </w:rPr>
            </w:pPr>
          </w:p>
        </w:tc>
      </w:tr>
      <w:tr w14:paraId="7C1BD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A97A738">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03725C8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2B784C67">
            <w:pPr>
              <w:spacing w:line="360" w:lineRule="exact"/>
              <w:jc w:val="center"/>
              <w:rPr>
                <w:rFonts w:ascii="宋体" w:hAnsi="宋体" w:eastAsia="宋体" w:cs="宋体"/>
                <w:bCs/>
                <w:szCs w:val="21"/>
              </w:rPr>
            </w:pPr>
          </w:p>
        </w:tc>
      </w:tr>
      <w:tr w14:paraId="1B03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768AE85">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26F34C6">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05A9CD30">
            <w:pPr>
              <w:spacing w:line="360" w:lineRule="exact"/>
              <w:jc w:val="center"/>
              <w:rPr>
                <w:rFonts w:ascii="宋体" w:hAnsi="宋体" w:eastAsia="宋体" w:cs="宋体"/>
                <w:bCs/>
                <w:szCs w:val="21"/>
              </w:rPr>
            </w:pPr>
          </w:p>
        </w:tc>
      </w:tr>
      <w:tr w14:paraId="34FD3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EE9AC79">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3272926">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ascii="Calibri" w:hAnsi="Calibri" w:eastAsia="宋体" w:cs="Times New Roman"/>
                <w:szCs w:val="24"/>
              </w:rPr>
              <w:fldChar w:fldCharType="begin"/>
            </w:r>
            <w:r>
              <w:rPr>
                <w:rFonts w:ascii="Calibri" w:hAnsi="Calibri" w:eastAsia="宋体" w:cs="Times New Roman"/>
                <w:szCs w:val="24"/>
              </w:rPr>
              <w:instrText xml:space="preserve"> HYPERLINK "mailto:ahjyxs@163.com" </w:instrText>
            </w:r>
            <w:r>
              <w:rPr>
                <w:rFonts w:ascii="Calibri" w:hAnsi="Calibri" w:eastAsia="宋体" w:cs="Times New Roman"/>
                <w:szCs w:val="24"/>
              </w:rPr>
              <w:fldChar w:fldCharType="separate"/>
            </w:r>
            <w:r>
              <w:rPr>
                <w:rFonts w:hint="eastAsia" w:ascii="宋体" w:hAnsi="宋体" w:eastAsia="宋体" w:cs="宋体"/>
                <w:color w:val="0000FF"/>
                <w:szCs w:val="21"/>
                <w:highlight w:val="green"/>
                <w:u w:val="single"/>
              </w:rPr>
              <w:t>ahjyxs@163.com</w:t>
            </w:r>
            <w:r>
              <w:rPr>
                <w:rFonts w:hint="eastAsia" w:ascii="宋体" w:hAnsi="宋体" w:eastAsia="宋体" w:cs="宋体"/>
                <w:color w:val="0000FF"/>
                <w:szCs w:val="21"/>
                <w:highlight w:val="green"/>
                <w:u w:val="single"/>
              </w:rPr>
              <w:fldChar w:fldCharType="end"/>
            </w:r>
            <w:r>
              <w:rPr>
                <w:rFonts w:hint="eastAsia" w:ascii="宋体" w:hAnsi="宋体" w:eastAsia="宋体" w:cs="宋体"/>
                <w:bCs/>
                <w:szCs w:val="21"/>
              </w:rPr>
              <w:t>：</w:t>
            </w:r>
          </w:p>
          <w:p w14:paraId="58E15FEC">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439E2A4C">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02362923">
            <w:pPr>
              <w:numPr>
                <w:ilvl w:val="0"/>
                <w:numId w:val="1"/>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3B43A6BE">
            <w:pPr>
              <w:numPr>
                <w:ilvl w:val="0"/>
                <w:numId w:val="1"/>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0059997F">
            <w:pPr>
              <w:widowControl w:val="0"/>
              <w:spacing w:after="120"/>
              <w:jc w:val="both"/>
              <w:rPr>
                <w:rFonts w:ascii="宋体" w:hAnsi="宋体" w:eastAsia="宋体" w:cs="宋体"/>
                <w:kern w:val="2"/>
                <w:sz w:val="21"/>
                <w:szCs w:val="21"/>
                <w:lang w:val="en-US" w:eastAsia="zh-CN" w:bidi="ar-SA"/>
              </w:rPr>
            </w:pPr>
            <w:r>
              <w:rPr>
                <w:rFonts w:hint="eastAsia" w:ascii="宋体" w:hAnsi="宋体" w:eastAsia="宋体" w:cs="宋体"/>
                <w:bCs/>
                <w:kern w:val="2"/>
                <w:sz w:val="21"/>
                <w:szCs w:val="21"/>
                <w:highlight w:val="green"/>
                <w:lang w:val="en-US" w:eastAsia="zh-CN" w:bidi="ar-SA"/>
              </w:rPr>
              <w:t>4、报名人在提交响应报名表后</w:t>
            </w:r>
            <w:r>
              <w:rPr>
                <w:rFonts w:hint="eastAsia" w:ascii="宋体" w:hAnsi="宋体" w:eastAsia="宋体" w:cs="宋体"/>
                <w:kern w:val="2"/>
                <w:sz w:val="21"/>
                <w:szCs w:val="21"/>
                <w:highlight w:val="green"/>
                <w:lang w:val="en-US" w:eastAsia="zh-CN" w:bidi="ar-SA"/>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7C2F358E">
      <w:pPr>
        <w:spacing w:line="560" w:lineRule="exact"/>
        <w:rPr>
          <w:rFonts w:ascii="宋体" w:hAnsi="宋体" w:eastAsia="宋体" w:cs="宋体"/>
          <w:sz w:val="24"/>
          <w:szCs w:val="24"/>
        </w:rPr>
      </w:pPr>
    </w:p>
    <w:p w14:paraId="16BE38E0">
      <w:pPr>
        <w:widowControl w:val="0"/>
        <w:autoSpaceDE w:val="0"/>
        <w:autoSpaceDN w:val="0"/>
        <w:jc w:val="center"/>
        <w:rPr>
          <w:rFonts w:hint="default" w:ascii="Times New Roman" w:hAnsi="Times New Roman" w:eastAsia="Fang Song" w:cs="Times New Roman"/>
          <w:color w:val="auto"/>
          <w:sz w:val="21"/>
          <w:szCs w:val="22"/>
          <w:lang w:val="en-US" w:eastAsia="zh-CN" w:bidi="ar-SA"/>
        </w:rPr>
      </w:pPr>
    </w:p>
    <w:p w14:paraId="516110F4">
      <w:pPr>
        <w:widowControl w:val="0"/>
        <w:autoSpaceDE w:val="0"/>
        <w:autoSpaceDN w:val="0"/>
        <w:jc w:val="center"/>
        <w:rPr>
          <w:rFonts w:hint="eastAsia" w:ascii="Times New Roman" w:hAnsi="Times New Roman" w:eastAsia="Fang Song" w:cs="Times New Roman"/>
          <w:color w:val="auto"/>
          <w:sz w:val="21"/>
          <w:szCs w:val="22"/>
          <w:lang w:val="en-US" w:eastAsia="zh-CN" w:bidi="ar-SA"/>
        </w:rPr>
      </w:pPr>
      <w:r>
        <w:rPr>
          <w:rFonts w:hint="eastAsia" w:ascii="Times New Roman" w:hAnsi="Times New Roman" w:eastAsia="Fang Song" w:cs="Times New Roman"/>
          <w:color w:val="auto"/>
          <w:sz w:val="21"/>
          <w:szCs w:val="22"/>
          <w:lang w:val="en-US" w:eastAsia="zh-CN" w:bidi="ar-SA"/>
        </w:rPr>
        <w:t xml:space="preserve">                 </w:t>
      </w:r>
    </w:p>
    <w:p w14:paraId="096FD0F5">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23612254">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241C7FEE">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521C17EF">
      <w:pPr>
        <w:widowControl w:val="0"/>
        <w:autoSpaceDE w:val="0"/>
        <w:autoSpaceDN w:val="0"/>
        <w:jc w:val="center"/>
        <w:rPr>
          <w:rFonts w:hint="eastAsia" w:ascii="Times New Roman" w:hAnsi="Times New Roman" w:eastAsia="Fang Song" w:cs="Times New Roman"/>
          <w:color w:val="auto"/>
          <w:sz w:val="21"/>
          <w:szCs w:val="22"/>
          <w:highlight w:val="none"/>
          <w:lang w:val="en-US" w:eastAsia="zh-CN" w:bidi="ar-SA"/>
        </w:rPr>
      </w:pPr>
    </w:p>
    <w:p w14:paraId="374FE692">
      <w:pPr>
        <w:widowControl/>
        <w:spacing w:line="300" w:lineRule="atLeast"/>
        <w:ind w:firstLine="480"/>
        <w:jc w:val="center"/>
        <w:rPr>
          <w:rFonts w:hint="eastAsia" w:ascii="宋体" w:hAnsi="宋体" w:eastAsia="宋体" w:cs="宋体"/>
          <w:b/>
          <w:bCs/>
          <w:color w:val="000000"/>
          <w:kern w:val="0"/>
          <w:sz w:val="24"/>
          <w:szCs w:val="24"/>
          <w:highlight w:val="none"/>
        </w:rPr>
      </w:pPr>
    </w:p>
    <w:p w14:paraId="59D3AE96">
      <w:pPr>
        <w:widowControl/>
        <w:spacing w:line="300" w:lineRule="atLeast"/>
        <w:ind w:firstLine="480"/>
        <w:jc w:val="center"/>
        <w:rPr>
          <w:rFonts w:ascii="微软雅黑" w:hAnsi="微软雅黑" w:eastAsia="微软雅黑" w:cs="宋体"/>
          <w:color w:val="000000"/>
          <w:kern w:val="0"/>
          <w:sz w:val="24"/>
          <w:szCs w:val="24"/>
          <w:highlight w:val="none"/>
        </w:rPr>
      </w:pPr>
      <w:r>
        <w:rPr>
          <w:rFonts w:hint="eastAsia" w:ascii="宋体" w:hAnsi="宋体" w:eastAsia="宋体" w:cs="宋体"/>
          <w:b/>
          <w:bCs/>
          <w:color w:val="000000"/>
          <w:kern w:val="0"/>
          <w:sz w:val="24"/>
          <w:szCs w:val="24"/>
          <w:highlight w:val="none"/>
        </w:rPr>
        <w:t>投资参股的关联企业情况表（与响应报名表一并提交）</w:t>
      </w:r>
    </w:p>
    <w:tbl>
      <w:tblPr>
        <w:tblStyle w:val="25"/>
        <w:tblW w:w="10081" w:type="dxa"/>
        <w:jc w:val="center"/>
        <w:tblCellSpacing w:w="15" w:type="dxa"/>
        <w:tblLayout w:type="fixed"/>
        <w:tblCellMar>
          <w:top w:w="0" w:type="dxa"/>
          <w:left w:w="0" w:type="dxa"/>
          <w:bottom w:w="0" w:type="dxa"/>
          <w:right w:w="0" w:type="dxa"/>
        </w:tblCellMar>
      </w:tblPr>
      <w:tblGrid>
        <w:gridCol w:w="10081"/>
      </w:tblGrid>
      <w:tr w14:paraId="0B681422">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F101FA2">
            <w:pPr>
              <w:widowControl/>
              <w:spacing w:line="480" w:lineRule="atLeast"/>
              <w:ind w:firstLine="480"/>
              <w:jc w:val="left"/>
              <w:rPr>
                <w:rFonts w:hint="eastAsia" w:ascii="微软雅黑" w:hAnsi="微软雅黑" w:eastAsia="微软雅黑" w:cs="宋体"/>
                <w:kern w:val="0"/>
                <w:sz w:val="24"/>
                <w:szCs w:val="24"/>
                <w:highlight w:val="none"/>
              </w:rPr>
            </w:pPr>
            <w:r>
              <w:rPr>
                <w:rFonts w:hint="eastAsia" w:ascii="宋体" w:hAnsi="宋体" w:eastAsia="宋体" w:cs="宋体"/>
                <w:kern w:val="0"/>
                <w:sz w:val="24"/>
                <w:szCs w:val="24"/>
                <w:highlight w:val="none"/>
              </w:rPr>
              <w:t> </w:t>
            </w:r>
          </w:p>
          <w:p w14:paraId="46B39697">
            <w:pPr>
              <w:widowControl/>
              <w:spacing w:line="480" w:lineRule="atLeast"/>
              <w:ind w:firstLine="48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申请参加询比的企业应提供其投资参股的关联企业情况，包括以下内容：</w:t>
            </w:r>
          </w:p>
          <w:p w14:paraId="7C3BDB9C">
            <w:pPr>
              <w:keepNext/>
              <w:keepLines/>
              <w:widowControl w:val="0"/>
              <w:numPr>
                <w:ilvl w:val="0"/>
                <w:numId w:val="0"/>
              </w:numPr>
              <w:spacing w:line="360" w:lineRule="auto"/>
              <w:ind w:left="417" w:leftChars="0"/>
              <w:jc w:val="both"/>
              <w:outlineLvl w:val="1"/>
              <w:rPr>
                <w:rFonts w:hint="eastAsia" w:ascii="Arial" w:hAnsi="Arial" w:eastAsia="宋体" w:cs="Times New Roman"/>
                <w:b/>
                <w:bCs/>
                <w:kern w:val="2"/>
                <w:sz w:val="28"/>
                <w:szCs w:val="32"/>
                <w:lang w:val="en-US" w:eastAsia="zh-CN" w:bidi="ar-SA"/>
              </w:rPr>
            </w:pPr>
          </w:p>
          <w:p w14:paraId="11F4B8D8">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与本单位负责人为同一人的其他单位名单；</w:t>
            </w:r>
          </w:p>
          <w:p w14:paraId="0DFD16B6">
            <w:pPr>
              <w:keepNext/>
              <w:keepLines/>
              <w:widowControl w:val="0"/>
              <w:numPr>
                <w:ilvl w:val="0"/>
                <w:numId w:val="0"/>
              </w:numPr>
              <w:spacing w:line="360" w:lineRule="auto"/>
              <w:ind w:left="402"/>
              <w:jc w:val="both"/>
              <w:outlineLvl w:val="1"/>
              <w:rPr>
                <w:rFonts w:hint="eastAsia" w:ascii="Arial" w:hAnsi="Arial" w:eastAsia="宋体" w:cs="Times New Roman"/>
                <w:b/>
                <w:bCs/>
                <w:kern w:val="2"/>
                <w:sz w:val="28"/>
                <w:szCs w:val="32"/>
                <w:highlight w:val="none"/>
                <w:lang w:val="en-US" w:eastAsia="zh-CN" w:bidi="ar-SA"/>
              </w:rPr>
            </w:pPr>
          </w:p>
          <w:p w14:paraId="1667D164">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对本单位存在控股、管理关系的其他单位名单；</w:t>
            </w:r>
          </w:p>
          <w:p w14:paraId="5802FD10">
            <w:pPr>
              <w:widowControl w:val="0"/>
              <w:ind w:firstLine="420" w:firstLineChars="200"/>
              <w:jc w:val="both"/>
              <w:rPr>
                <w:rFonts w:hint="eastAsia" w:ascii="Calibri" w:hAnsi="Calibri" w:eastAsia="宋体" w:cs="Times New Roman"/>
                <w:kern w:val="2"/>
                <w:sz w:val="21"/>
                <w:szCs w:val="24"/>
                <w:highlight w:val="none"/>
                <w:lang w:val="en-US" w:eastAsia="zh-CN" w:bidi="ar-SA"/>
              </w:rPr>
            </w:pPr>
          </w:p>
          <w:p w14:paraId="10D008BD">
            <w:pPr>
              <w:rPr>
                <w:rFonts w:hint="eastAsia" w:ascii="Calibri" w:hAnsi="Calibri" w:eastAsia="宋体" w:cs="Times New Roman"/>
                <w:szCs w:val="24"/>
                <w:highlight w:val="none"/>
              </w:rPr>
            </w:pPr>
          </w:p>
          <w:p w14:paraId="0B224461">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本单位对其他单位存在控股、管理关系的名单；</w:t>
            </w:r>
          </w:p>
          <w:p w14:paraId="12EBEE45">
            <w:pPr>
              <w:keepNext/>
              <w:keepLines/>
              <w:widowControl w:val="0"/>
              <w:numPr>
                <w:ilvl w:val="0"/>
                <w:numId w:val="0"/>
              </w:numPr>
              <w:spacing w:line="360" w:lineRule="auto"/>
              <w:ind w:left="402"/>
              <w:jc w:val="both"/>
              <w:outlineLvl w:val="1"/>
              <w:rPr>
                <w:rFonts w:hint="eastAsia" w:ascii="Arial" w:hAnsi="Arial" w:eastAsia="宋体" w:cs="Times New Roman"/>
                <w:b/>
                <w:bCs/>
                <w:kern w:val="2"/>
                <w:sz w:val="28"/>
                <w:szCs w:val="32"/>
                <w:highlight w:val="none"/>
                <w:lang w:val="en-US" w:eastAsia="zh-CN" w:bidi="ar-SA"/>
              </w:rPr>
            </w:pPr>
          </w:p>
          <w:p w14:paraId="0D22F8ED">
            <w:pPr>
              <w:widowControl/>
              <w:spacing w:line="480" w:lineRule="atLeast"/>
              <w:ind w:firstLine="420"/>
              <w:jc w:val="left"/>
              <w:rPr>
                <w:rFonts w:hint="eastAsia" w:ascii="微软雅黑" w:hAnsi="微软雅黑" w:eastAsia="微软雅黑" w:cs="宋体"/>
                <w:kern w:val="0"/>
                <w:sz w:val="24"/>
                <w:szCs w:val="24"/>
                <w:highlight w:val="none"/>
              </w:rPr>
            </w:pPr>
            <w:r>
              <w:rPr>
                <w:rFonts w:hint="eastAsia" w:ascii="宋体" w:hAnsi="宋体" w:eastAsia="宋体" w:cs="宋体"/>
                <w:kern w:val="0"/>
                <w:sz w:val="24"/>
                <w:szCs w:val="24"/>
                <w:highlight w:val="none"/>
              </w:rPr>
              <w:t>                                                        </w:t>
            </w:r>
            <w:r>
              <w:rPr>
                <w:rFonts w:hint="eastAsia" w:ascii="宋体" w:hAnsi="宋体" w:eastAsia="宋体" w:cs="宋体"/>
                <w:kern w:val="0"/>
                <w:sz w:val="24"/>
                <w:szCs w:val="24"/>
                <w:highlight w:val="none"/>
                <w:lang w:val="en-US" w:eastAsia="zh-CN"/>
              </w:rPr>
              <w:t xml:space="preserve">                        </w:t>
            </w:r>
            <w:r>
              <w:rPr>
                <w:rFonts w:hint="eastAsia" w:ascii="宋体" w:hAnsi="宋体" w:eastAsia="宋体" w:cs="宋体"/>
                <w:kern w:val="0"/>
                <w:sz w:val="24"/>
                <w:szCs w:val="24"/>
                <w:highlight w:val="none"/>
              </w:rPr>
              <w:t>（单位盖章）</w:t>
            </w:r>
          </w:p>
        </w:tc>
      </w:tr>
    </w:tbl>
    <w:p w14:paraId="5BFA7734">
      <w:pPr>
        <w:widowControl/>
        <w:ind w:firstLine="480"/>
        <w:jc w:val="left"/>
        <w:rPr>
          <w:rFonts w:hint="eastAsia" w:ascii="微软雅黑" w:hAnsi="微软雅黑" w:eastAsia="微软雅黑" w:cs="宋体"/>
          <w:color w:val="000000"/>
          <w:kern w:val="0"/>
          <w:sz w:val="24"/>
          <w:szCs w:val="24"/>
          <w:highlight w:val="none"/>
        </w:rPr>
      </w:pPr>
      <w:r>
        <w:rPr>
          <w:rFonts w:hint="eastAsia" w:ascii="宋体" w:hAnsi="宋体" w:eastAsia="宋体" w:cs="宋体"/>
          <w:color w:val="000000"/>
          <w:kern w:val="0"/>
          <w:sz w:val="24"/>
          <w:szCs w:val="24"/>
          <w:highlight w:val="none"/>
        </w:rPr>
        <w:t>注：供应商应如实填报此表，否则因其影响询比公正性的，其相关响应文件均无效。</w:t>
      </w:r>
    </w:p>
    <w:p w14:paraId="5E55797E">
      <w:pPr>
        <w:widowControl w:val="0"/>
        <w:autoSpaceDE w:val="0"/>
        <w:autoSpaceDN w:val="0"/>
        <w:jc w:val="center"/>
        <w:rPr>
          <w:rFonts w:hint="eastAsia" w:ascii="Times New Roman" w:hAnsi="Times New Roman" w:eastAsia="Fang Song" w:cs="Times New Roman"/>
          <w:color w:val="auto"/>
          <w:sz w:val="21"/>
          <w:szCs w:val="22"/>
          <w:highlight w:val="none"/>
          <w:lang w:val="en-US" w:eastAsia="zh-CN" w:bidi="ar-SA"/>
        </w:rPr>
      </w:pPr>
    </w:p>
    <w:p w14:paraId="0B5DA682"/>
    <w:p w14:paraId="4863EFDA">
      <w:pPr>
        <w:spacing w:line="360" w:lineRule="auto"/>
        <w:ind w:firstLine="562"/>
        <w:outlineLvl w:val="0"/>
        <w:rPr>
          <w:rFonts w:asciiTheme="minorEastAsia" w:hAnsiTheme="minorEastAsia" w:eastAsiaTheme="minorEastAsia"/>
          <w:b/>
          <w:color w:val="auto"/>
          <w:sz w:val="28"/>
        </w:rPr>
      </w:pPr>
    </w:p>
    <w:p w14:paraId="590DF7C1">
      <w:pPr>
        <w:spacing w:line="360" w:lineRule="auto"/>
        <w:ind w:firstLine="562"/>
        <w:outlineLvl w:val="0"/>
        <w:rPr>
          <w:rFonts w:asciiTheme="minorEastAsia" w:hAnsiTheme="minorEastAsia" w:eastAsiaTheme="minorEastAsia"/>
          <w:b/>
          <w:color w:val="auto"/>
          <w:sz w:val="28"/>
        </w:rPr>
      </w:pPr>
    </w:p>
    <w:p w14:paraId="759EE38E">
      <w:pPr>
        <w:pStyle w:val="2"/>
        <w:rPr>
          <w:rFonts w:asciiTheme="minorEastAsia" w:hAnsiTheme="minorEastAsia" w:eastAsiaTheme="minorEastAsia"/>
          <w:b/>
          <w:color w:val="auto"/>
          <w:sz w:val="28"/>
        </w:rPr>
      </w:pPr>
    </w:p>
    <w:p w14:paraId="045D1E22"/>
    <w:p w14:paraId="57BEA7E3">
      <w:pPr>
        <w:spacing w:line="360" w:lineRule="auto"/>
        <w:ind w:firstLine="562"/>
        <w:jc w:val="center"/>
        <w:outlineLvl w:val="0"/>
        <w:rPr>
          <w:rFonts w:asciiTheme="minorEastAsia" w:hAnsiTheme="minorEastAsia" w:eastAsiaTheme="minorEastAsia"/>
          <w:b/>
          <w:color w:val="auto"/>
          <w:sz w:val="28"/>
        </w:rPr>
      </w:pPr>
    </w:p>
    <w:p w14:paraId="37E198B4">
      <w:pPr>
        <w:spacing w:line="360" w:lineRule="auto"/>
        <w:ind w:firstLine="562"/>
        <w:jc w:val="center"/>
        <w:outlineLvl w:val="0"/>
        <w:rPr>
          <w:rFonts w:asciiTheme="minorEastAsia" w:hAnsiTheme="minorEastAsia" w:eastAsiaTheme="minorEastAsia"/>
          <w:b/>
          <w:color w:val="auto"/>
          <w:sz w:val="28"/>
        </w:rPr>
      </w:pPr>
    </w:p>
    <w:p w14:paraId="22BF0D61">
      <w:pPr>
        <w:spacing w:line="360" w:lineRule="auto"/>
        <w:ind w:firstLine="3373" w:firstLineChars="1200"/>
        <w:outlineLvl w:val="0"/>
        <w:rPr>
          <w:rFonts w:asciiTheme="minorEastAsia" w:hAnsiTheme="minorEastAsia" w:eastAsiaTheme="minorEastAsia"/>
          <w:b/>
          <w:color w:val="auto"/>
          <w:sz w:val="28"/>
        </w:rPr>
      </w:pPr>
      <w:r>
        <w:rPr>
          <w:rFonts w:hint="eastAsia" w:asciiTheme="minorEastAsia" w:hAnsiTheme="minorEastAsia" w:eastAsiaTheme="minorEastAsia"/>
          <w:b/>
          <w:color w:val="auto"/>
          <w:sz w:val="28"/>
        </w:rPr>
        <w:t>第二章</w:t>
      </w:r>
      <w:r>
        <w:rPr>
          <w:rFonts w:asciiTheme="minorEastAsia" w:hAnsiTheme="minorEastAsia" w:eastAsiaTheme="minorEastAsia"/>
          <w:b/>
          <w:color w:val="auto"/>
          <w:sz w:val="28"/>
        </w:rPr>
        <w:t xml:space="preserve"> </w:t>
      </w:r>
      <w:r>
        <w:rPr>
          <w:rFonts w:hint="eastAsia" w:asciiTheme="minorEastAsia" w:hAnsiTheme="minorEastAsia" w:eastAsiaTheme="minorEastAsia"/>
          <w:b/>
          <w:color w:val="auto"/>
          <w:sz w:val="28"/>
        </w:rPr>
        <w:t xml:space="preserve"> </w:t>
      </w:r>
      <w:r>
        <w:rPr>
          <w:rFonts w:asciiTheme="minorEastAsia" w:hAnsiTheme="minorEastAsia" w:eastAsiaTheme="minorEastAsia"/>
          <w:b/>
          <w:color w:val="auto"/>
          <w:sz w:val="28"/>
        </w:rPr>
        <w:t>投标人须知</w:t>
      </w:r>
      <w:bookmarkEnd w:id="3"/>
    </w:p>
    <w:p w14:paraId="1C676CE3">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618D12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25C5EBD">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严格按照技术要求和国家、部(专业)有关标准生产和检验，确保产品质量。并且完全符合本采购项目规定的质量、规格和性能的要求，并保证产品是全新的、未使用的。</w:t>
      </w:r>
    </w:p>
    <w:p w14:paraId="4FAC4C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4D0B4EDE">
      <w:pPr>
        <w:spacing w:line="440" w:lineRule="exac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r>
        <w:rPr>
          <w:rFonts w:ascii="Times New Roman" w:hAnsi="Times New Roman" w:eastAsia="宋体" w:cs="Times New Roman"/>
          <w:szCs w:val="21"/>
        </w:rPr>
        <w:t>.1供应商应具备承担本合同包</w:t>
      </w:r>
      <w:r>
        <w:rPr>
          <w:rFonts w:hint="eastAsia" w:ascii="Times New Roman" w:hAnsi="Times New Roman" w:eastAsia="宋体" w:cs="Times New Roman"/>
          <w:szCs w:val="21"/>
        </w:rPr>
        <w:t>供货</w:t>
      </w:r>
      <w:r>
        <w:rPr>
          <w:rFonts w:ascii="Times New Roman" w:hAnsi="Times New Roman" w:eastAsia="宋体" w:cs="Times New Roman"/>
          <w:szCs w:val="21"/>
        </w:rPr>
        <w:t>的资质条件、能力和信誉：见第一章</w:t>
      </w:r>
      <w:r>
        <w:rPr>
          <w:rFonts w:hint="eastAsia" w:ascii="Times New Roman" w:hAnsi="Times New Roman" w:eastAsia="宋体" w:cs="Times New Roman"/>
          <w:szCs w:val="21"/>
        </w:rPr>
        <w:t xml:space="preserve"> 采购公告。</w:t>
      </w:r>
    </w:p>
    <w:p w14:paraId="35DB1DC6">
      <w:pPr>
        <w:spacing w:line="440" w:lineRule="exac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2</w:t>
      </w:r>
      <w:r>
        <w:rPr>
          <w:rFonts w:ascii="Times New Roman" w:hAnsi="Times New Roman" w:eastAsia="宋体" w:cs="Times New Roman"/>
          <w:szCs w:val="21"/>
        </w:rPr>
        <w:t>其他</w:t>
      </w:r>
      <w:r>
        <w:rPr>
          <w:rFonts w:hint="eastAsia" w:ascii="Times New Roman" w:hAnsi="Times New Roman" w:eastAsia="宋体" w:cs="Times New Roman"/>
          <w:szCs w:val="21"/>
        </w:rPr>
        <w:t>要求：</w:t>
      </w:r>
      <w:r>
        <w:rPr>
          <w:rFonts w:hint="eastAsia" w:ascii="Times New Roman" w:hAnsi="Times New Roman" w:eastAsia="宋体" w:cs="Times New Roman"/>
          <w:szCs w:val="21"/>
          <w:u w:val="single"/>
        </w:rPr>
        <w:t>无</w:t>
      </w:r>
      <w:r>
        <w:rPr>
          <w:rFonts w:ascii="Times New Roman" w:hAnsi="Times New Roman" w:eastAsia="宋体" w:cs="Times New Roman"/>
          <w:szCs w:val="21"/>
        </w:rPr>
        <w:t>。</w:t>
      </w:r>
    </w:p>
    <w:p w14:paraId="75293B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62945FA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1"/>
        </w:rPr>
        <w:t>供应商</w:t>
      </w:r>
      <w:r>
        <w:rPr>
          <w:rFonts w:ascii="Times New Roman" w:hAnsi="Times New Roman" w:eastAsia="宋体" w:cs="Times New Roman"/>
          <w:szCs w:val="24"/>
        </w:rPr>
        <w:t>准备和参加询比活动发生的费用自理。</w:t>
      </w:r>
    </w:p>
    <w:p w14:paraId="2D6533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22E9A79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参与询比活动的各方应对询比文件和响应文件中的商业和技术等秘密保密，否则应承担相应的法律责任。</w:t>
      </w:r>
    </w:p>
    <w:p w14:paraId="416516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670FCD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所有计量均采用中华人民共和国法定计量单位。</w:t>
      </w:r>
    </w:p>
    <w:p w14:paraId="5411086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4DDBB35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w:t>
      </w:r>
      <w:r>
        <w:rPr>
          <w:rFonts w:hint="eastAsia" w:ascii="Times New Roman" w:hAnsi="Times New Roman" w:eastAsia="宋体" w:cs="Times New Roman"/>
          <w:szCs w:val="24"/>
        </w:rPr>
        <w:t>自行</w:t>
      </w:r>
      <w:r>
        <w:rPr>
          <w:rFonts w:ascii="Times New Roman" w:hAnsi="Times New Roman" w:eastAsia="宋体" w:cs="Times New Roman"/>
          <w:szCs w:val="24"/>
        </w:rPr>
        <w:t>踏勘现场</w:t>
      </w:r>
      <w:r>
        <w:rPr>
          <w:rFonts w:hint="eastAsia" w:ascii="Times New Roman" w:hAnsi="Times New Roman" w:eastAsia="宋体" w:cs="Times New Roman"/>
          <w:szCs w:val="24"/>
        </w:rPr>
        <w:t>且</w:t>
      </w:r>
      <w:r>
        <w:rPr>
          <w:rFonts w:ascii="Times New Roman" w:hAnsi="Times New Roman" w:eastAsia="宋体" w:cs="Times New Roman"/>
          <w:szCs w:val="24"/>
        </w:rPr>
        <w:t>费用自理。</w:t>
      </w:r>
    </w:p>
    <w:p w14:paraId="18F65A4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32B5636B">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不分包。</w:t>
      </w:r>
    </w:p>
    <w:p w14:paraId="3AC3F14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7AD25D74">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8</w:t>
      </w:r>
      <w:r>
        <w:rPr>
          <w:rFonts w:ascii="Times New Roman" w:hAnsi="Times New Roman" w:eastAsia="宋体" w:cs="Times New Roman"/>
          <w:szCs w:val="24"/>
        </w:rPr>
        <w:t>.1偏差包括重大偏差和细微偏差。</w:t>
      </w:r>
    </w:p>
    <w:p w14:paraId="734679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8</w:t>
      </w:r>
      <w:r>
        <w:rPr>
          <w:rFonts w:ascii="Times New Roman" w:hAnsi="Times New Roman" w:eastAsia="宋体" w:cs="Times New Roman"/>
          <w:szCs w:val="24"/>
        </w:rPr>
        <w:t>.2 响应文件存在第三章“评审办法”中所列任一否决</w:t>
      </w:r>
      <w:r>
        <w:rPr>
          <w:rFonts w:hint="eastAsia" w:ascii="Times New Roman" w:hAnsi="Times New Roman" w:eastAsia="宋体" w:cs="Times New Roman"/>
          <w:szCs w:val="24"/>
        </w:rPr>
        <w:t>响应文件</w:t>
      </w:r>
      <w:r>
        <w:rPr>
          <w:rFonts w:ascii="Times New Roman" w:hAnsi="Times New Roman" w:eastAsia="宋体" w:cs="Times New Roman"/>
          <w:szCs w:val="24"/>
        </w:rPr>
        <w:t>情形的，均属于存在重大偏差</w:t>
      </w:r>
      <w:r>
        <w:rPr>
          <w:rFonts w:hint="eastAsia" w:ascii="Times New Roman" w:hAnsi="Times New Roman" w:eastAsia="宋体" w:cs="Times New Roman"/>
          <w:szCs w:val="24"/>
        </w:rPr>
        <w:t>，响应文件将被否决</w:t>
      </w:r>
      <w:r>
        <w:rPr>
          <w:rFonts w:ascii="Times New Roman" w:hAnsi="Times New Roman" w:eastAsia="宋体" w:cs="Times New Roman"/>
          <w:szCs w:val="24"/>
        </w:rPr>
        <w:t>。</w:t>
      </w:r>
    </w:p>
    <w:p w14:paraId="67187154">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FFCFEB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06B8E9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本询比文件包括：</w:t>
      </w:r>
    </w:p>
    <w:p w14:paraId="23D5EFC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lang w:val="en-US" w:eastAsia="zh-CN"/>
        </w:rPr>
        <w:t>招标公告</w:t>
      </w:r>
      <w:r>
        <w:rPr>
          <w:rFonts w:ascii="Times New Roman" w:hAnsi="Times New Roman" w:eastAsia="宋体" w:cs="Times New Roman"/>
          <w:szCs w:val="24"/>
        </w:rPr>
        <w:t>；</w:t>
      </w:r>
    </w:p>
    <w:p w14:paraId="75239A7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lang w:val="en-US" w:eastAsia="zh-CN"/>
        </w:rPr>
        <w:t>投标人须知</w:t>
      </w:r>
      <w:r>
        <w:rPr>
          <w:rFonts w:ascii="Times New Roman" w:hAnsi="Times New Roman" w:eastAsia="宋体" w:cs="Times New Roman"/>
          <w:szCs w:val="24"/>
        </w:rPr>
        <w:t>；</w:t>
      </w:r>
    </w:p>
    <w:p w14:paraId="1822D8D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lang w:val="en-US" w:eastAsia="zh-CN"/>
        </w:rPr>
        <w:t>采购需求</w:t>
      </w:r>
      <w:r>
        <w:rPr>
          <w:rFonts w:ascii="Times New Roman" w:hAnsi="Times New Roman" w:eastAsia="宋体" w:cs="Times New Roman"/>
          <w:szCs w:val="24"/>
        </w:rPr>
        <w:t>；</w:t>
      </w:r>
    </w:p>
    <w:p w14:paraId="4E71814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w:t>
      </w:r>
      <w:r>
        <w:rPr>
          <w:rFonts w:hint="eastAsia" w:ascii="Times New Roman" w:hAnsi="Times New Roman" w:eastAsia="宋体" w:cs="Times New Roman"/>
          <w:szCs w:val="24"/>
          <w:lang w:val="en-US" w:eastAsia="zh-CN"/>
        </w:rPr>
        <w:t>评标办法和标准</w:t>
      </w:r>
      <w:r>
        <w:rPr>
          <w:rFonts w:ascii="Times New Roman" w:hAnsi="Times New Roman" w:eastAsia="宋体" w:cs="Times New Roman"/>
          <w:szCs w:val="24"/>
        </w:rPr>
        <w:t>；</w:t>
      </w:r>
    </w:p>
    <w:p w14:paraId="0CC3413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w:t>
      </w:r>
      <w:r>
        <w:rPr>
          <w:rFonts w:hint="eastAsia" w:ascii="Times New Roman" w:hAnsi="Times New Roman" w:eastAsia="宋体" w:cs="Times New Roman"/>
          <w:szCs w:val="24"/>
          <w:lang w:val="en-US" w:eastAsia="zh-CN"/>
        </w:rPr>
        <w:t>合同条款及格式</w:t>
      </w:r>
      <w:r>
        <w:rPr>
          <w:rFonts w:ascii="Times New Roman" w:hAnsi="Times New Roman" w:eastAsia="宋体" w:cs="Times New Roman"/>
          <w:szCs w:val="24"/>
        </w:rPr>
        <w:t>；</w:t>
      </w:r>
    </w:p>
    <w:p w14:paraId="54A829D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（6）</w:t>
      </w:r>
      <w:r>
        <w:rPr>
          <w:rFonts w:hint="eastAsia" w:ascii="Times New Roman" w:hAnsi="Times New Roman" w:eastAsia="宋体" w:cs="Times New Roman"/>
          <w:szCs w:val="24"/>
          <w:lang w:val="en-US" w:eastAsia="zh-CN"/>
        </w:rPr>
        <w:t>投标文件格式</w:t>
      </w:r>
      <w:r>
        <w:rPr>
          <w:rFonts w:hint="eastAsia" w:ascii="Times New Roman" w:hAnsi="Times New Roman" w:eastAsia="宋体" w:cs="Times New Roman"/>
          <w:szCs w:val="24"/>
        </w:rPr>
        <w:t>。</w:t>
      </w:r>
    </w:p>
    <w:p w14:paraId="14A73D5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根据本章第2.2款对询比文件所作的澄清、修改，构成询比文件的组成部分。</w:t>
      </w:r>
    </w:p>
    <w:p w14:paraId="28D6702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当询比文件、询比文件的澄清或修改等在同一内容的表述上不一致时，以最后发出的书面文件为准。</w:t>
      </w:r>
    </w:p>
    <w:p w14:paraId="79A143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1E18D7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2.2.1供应商如有疑问，应在递交</w:t>
      </w:r>
      <w:r>
        <w:rPr>
          <w:rFonts w:hint="eastAsia" w:ascii="Times New Roman" w:hAnsi="Times New Roman" w:eastAsia="宋体" w:cs="Times New Roman"/>
          <w:szCs w:val="24"/>
        </w:rPr>
        <w:t>响应</w:t>
      </w:r>
      <w:r>
        <w:rPr>
          <w:rFonts w:ascii="Times New Roman" w:hAnsi="Times New Roman" w:eastAsia="宋体" w:cs="Times New Roman"/>
          <w:szCs w:val="24"/>
        </w:rPr>
        <w:t>文件的截止时间</w:t>
      </w:r>
      <w:r>
        <w:rPr>
          <w:rFonts w:hint="eastAsia" w:ascii="Times New Roman" w:hAnsi="Times New Roman" w:eastAsia="宋体" w:cs="Times New Roman"/>
          <w:szCs w:val="24"/>
        </w:rPr>
        <w:t>前3日</w:t>
      </w:r>
      <w:r>
        <w:rPr>
          <w:rFonts w:ascii="Times New Roman" w:hAnsi="Times New Roman" w:eastAsia="宋体" w:cs="Times New Roman"/>
          <w:szCs w:val="24"/>
        </w:rPr>
        <w:t>前</w:t>
      </w:r>
      <w:r>
        <w:rPr>
          <w:rFonts w:hint="eastAsia" w:ascii="Times New Roman" w:hAnsi="Times New Roman" w:eastAsia="宋体" w:cs="Times New Roman"/>
          <w:szCs w:val="24"/>
        </w:rPr>
        <w:t>通过递交书面质疑函</w:t>
      </w:r>
      <w:r>
        <w:rPr>
          <w:rFonts w:ascii="Times New Roman" w:hAnsi="Times New Roman" w:eastAsia="宋体" w:cs="Times New Roman"/>
          <w:szCs w:val="24"/>
        </w:rPr>
        <w:t>要求采购人对询比文件予以澄清</w:t>
      </w:r>
      <w:r>
        <w:rPr>
          <w:rFonts w:hint="eastAsia" w:ascii="Times New Roman" w:hAnsi="Times New Roman" w:eastAsia="宋体" w:cs="Times New Roman"/>
          <w:szCs w:val="24"/>
        </w:rPr>
        <w:t>或修改</w:t>
      </w:r>
      <w:r>
        <w:rPr>
          <w:rFonts w:ascii="Times New Roman" w:hAnsi="Times New Roman" w:eastAsia="宋体" w:cs="Times New Roman"/>
          <w:szCs w:val="24"/>
        </w:rPr>
        <w:t>。</w:t>
      </w:r>
    </w:p>
    <w:p w14:paraId="2ADF34B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w:t>
      </w:r>
      <w:r>
        <w:rPr>
          <w:rFonts w:hint="eastAsia" w:ascii="Times New Roman" w:hAnsi="Times New Roman" w:eastAsia="宋体" w:cs="Times New Roman"/>
          <w:szCs w:val="24"/>
        </w:rPr>
        <w:t>2</w:t>
      </w:r>
      <w:r>
        <w:rPr>
          <w:rFonts w:ascii="Times New Roman" w:hAnsi="Times New Roman" w:eastAsia="宋体" w:cs="Times New Roman"/>
          <w:szCs w:val="24"/>
        </w:rPr>
        <w:t>除非采购人认为确有必要答复，否则，采购人有权拒绝回复供应商在本章第2.2.1项规定的时间后提出的任何澄清</w:t>
      </w:r>
      <w:r>
        <w:rPr>
          <w:rFonts w:hint="eastAsia" w:ascii="Times New Roman" w:hAnsi="Times New Roman" w:eastAsia="宋体" w:cs="Times New Roman"/>
          <w:szCs w:val="24"/>
        </w:rPr>
        <w:t>或修改</w:t>
      </w:r>
      <w:r>
        <w:rPr>
          <w:rFonts w:ascii="Times New Roman" w:hAnsi="Times New Roman" w:eastAsia="宋体" w:cs="Times New Roman"/>
          <w:szCs w:val="24"/>
        </w:rPr>
        <w:t>要求。</w:t>
      </w:r>
    </w:p>
    <w:p w14:paraId="3500B61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7216C18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D2629D3">
      <w:pPr>
        <w:spacing w:line="400" w:lineRule="atLeast"/>
        <w:ind w:firstLine="420"/>
        <w:rPr>
          <w:rFonts w:ascii="Times New Roman" w:hAnsi="Times New Roman" w:eastAsia="宋体" w:cs="Times New Roman"/>
          <w:szCs w:val="24"/>
        </w:rPr>
      </w:pPr>
      <w:r>
        <w:rPr>
          <w:rFonts w:ascii="Times New Roman" w:hAnsi="Times New Roman" w:eastAsia="宋体" w:cs="Times New Roman"/>
          <w:szCs w:val="24"/>
        </w:rPr>
        <w:t>响应文件应包括下列内容：</w:t>
      </w:r>
    </w:p>
    <w:p w14:paraId="2842C11B">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（1）</w:t>
      </w:r>
      <w:r>
        <w:rPr>
          <w:rFonts w:ascii="Times New Roman" w:hAnsi="Times New Roman" w:eastAsia="宋体" w:cs="Times New Roman"/>
          <w:szCs w:val="24"/>
        </w:rPr>
        <w:t>报价函</w:t>
      </w:r>
      <w:r>
        <w:rPr>
          <w:rFonts w:hint="eastAsia" w:ascii="Times New Roman" w:hAnsi="Times New Roman" w:eastAsia="宋体" w:cs="Times New Roman"/>
          <w:szCs w:val="24"/>
        </w:rPr>
        <w:t>；</w:t>
      </w:r>
    </w:p>
    <w:p w14:paraId="22D721FF">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（2）</w:t>
      </w:r>
      <w:r>
        <w:rPr>
          <w:rFonts w:ascii="Times New Roman" w:hAnsi="Times New Roman" w:eastAsia="宋体" w:cs="Times New Roman"/>
          <w:szCs w:val="24"/>
        </w:rPr>
        <w:t>法定代表人身份证明及授权委托书</w:t>
      </w:r>
      <w:r>
        <w:rPr>
          <w:rFonts w:hint="eastAsia" w:ascii="Times New Roman" w:hAnsi="Times New Roman" w:eastAsia="宋体" w:cs="Times New Roman"/>
          <w:szCs w:val="24"/>
        </w:rPr>
        <w:t>；</w:t>
      </w:r>
    </w:p>
    <w:p w14:paraId="5C4C091C">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（3）</w:t>
      </w:r>
      <w:r>
        <w:rPr>
          <w:rFonts w:ascii="Times New Roman" w:hAnsi="Times New Roman" w:eastAsia="宋体" w:cs="Times New Roman"/>
          <w:szCs w:val="24"/>
        </w:rPr>
        <w:t>已标价的</w:t>
      </w:r>
      <w:r>
        <w:rPr>
          <w:rFonts w:hint="eastAsia" w:ascii="Times New Roman" w:hAnsi="Times New Roman" w:eastAsia="宋体" w:cs="Times New Roman"/>
          <w:szCs w:val="24"/>
        </w:rPr>
        <w:t>报价清单；</w:t>
      </w:r>
    </w:p>
    <w:p w14:paraId="42A6AA3E">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（4）</w:t>
      </w:r>
      <w:r>
        <w:rPr>
          <w:rFonts w:ascii="Times New Roman" w:hAnsi="Times New Roman" w:eastAsia="宋体" w:cs="Times New Roman"/>
          <w:szCs w:val="24"/>
        </w:rPr>
        <w:t>供应商基本情况</w:t>
      </w:r>
      <w:r>
        <w:rPr>
          <w:rFonts w:hint="eastAsia" w:ascii="Times New Roman" w:hAnsi="Times New Roman" w:eastAsia="宋体" w:cs="Times New Roman"/>
          <w:szCs w:val="24"/>
        </w:rPr>
        <w:t>；</w:t>
      </w:r>
    </w:p>
    <w:p w14:paraId="488BAE4C">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（5）</w:t>
      </w:r>
      <w:r>
        <w:rPr>
          <w:rFonts w:ascii="Times New Roman" w:hAnsi="Times New Roman" w:eastAsia="宋体" w:cs="Times New Roman"/>
          <w:szCs w:val="24"/>
        </w:rPr>
        <w:t>近年类似业绩情况</w:t>
      </w:r>
      <w:r>
        <w:rPr>
          <w:rFonts w:hint="eastAsia" w:ascii="Times New Roman" w:hAnsi="Times New Roman" w:eastAsia="宋体" w:cs="Times New Roman"/>
          <w:szCs w:val="24"/>
        </w:rPr>
        <w:t>；</w:t>
      </w:r>
    </w:p>
    <w:p w14:paraId="69F79F33">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（6）</w:t>
      </w:r>
      <w:r>
        <w:rPr>
          <w:rFonts w:ascii="Times New Roman" w:hAnsi="Times New Roman" w:eastAsia="宋体" w:cs="Times New Roman"/>
          <w:szCs w:val="24"/>
        </w:rPr>
        <w:t>信誉情况</w:t>
      </w:r>
      <w:r>
        <w:rPr>
          <w:rFonts w:hint="eastAsia" w:ascii="Times New Roman" w:hAnsi="Times New Roman" w:eastAsia="宋体" w:cs="Times New Roman"/>
          <w:szCs w:val="24"/>
        </w:rPr>
        <w:t>；</w:t>
      </w:r>
    </w:p>
    <w:p w14:paraId="57582394">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（7）</w:t>
      </w:r>
      <w:r>
        <w:rPr>
          <w:rFonts w:hint="eastAsia" w:ascii="Times New Roman" w:hAnsi="Times New Roman" w:eastAsia="宋体" w:cs="Times New Roman"/>
          <w:szCs w:val="21"/>
        </w:rPr>
        <w:t>技术性能（质量）指标描述</w:t>
      </w:r>
      <w:r>
        <w:rPr>
          <w:rFonts w:hint="eastAsia" w:ascii="Times New Roman" w:hAnsi="Times New Roman" w:eastAsia="宋体" w:cs="Times New Roman"/>
          <w:szCs w:val="24"/>
        </w:rPr>
        <w:t>；</w:t>
      </w:r>
    </w:p>
    <w:p w14:paraId="2E9DAC22">
      <w:pPr>
        <w:spacing w:line="440" w:lineRule="exact"/>
        <w:ind w:firstLine="420"/>
        <w:rPr>
          <w:rFonts w:ascii="Calibri" w:hAnsi="Calibri" w:eastAsia="宋体" w:cs="Times New Roman"/>
          <w:szCs w:val="24"/>
        </w:rPr>
      </w:pPr>
      <w:r>
        <w:rPr>
          <w:rFonts w:hint="eastAsia" w:ascii="Times New Roman" w:hAnsi="Times New Roman" w:eastAsia="宋体" w:cs="Times New Roman"/>
          <w:szCs w:val="24"/>
        </w:rPr>
        <w:t>（8）供货方案；</w:t>
      </w:r>
    </w:p>
    <w:p w14:paraId="53DD4E61">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（9）</w:t>
      </w:r>
      <w:r>
        <w:rPr>
          <w:rFonts w:ascii="Times New Roman" w:hAnsi="Times New Roman" w:eastAsia="宋体" w:cs="Times New Roman"/>
          <w:szCs w:val="24"/>
        </w:rPr>
        <w:t>其他材料</w:t>
      </w:r>
      <w:r>
        <w:rPr>
          <w:rFonts w:hint="eastAsia" w:ascii="Times New Roman" w:hAnsi="Times New Roman" w:eastAsia="宋体" w:cs="Times New Roman"/>
          <w:szCs w:val="24"/>
        </w:rPr>
        <w:t>。</w:t>
      </w:r>
    </w:p>
    <w:p w14:paraId="61F25BA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0FBE13F7">
      <w:pPr>
        <w:spacing w:line="440" w:lineRule="exact"/>
        <w:ind w:firstLine="420"/>
        <w:rPr>
          <w:rFonts w:ascii="Times New Roman" w:hAnsi="Times New Roman" w:eastAsia="宋体" w:cs="Times New Roman"/>
          <w:szCs w:val="24"/>
          <w:highlight w:val="green"/>
        </w:rPr>
      </w:pPr>
      <w:r>
        <w:rPr>
          <w:rFonts w:ascii="Times New Roman" w:hAnsi="Times New Roman" w:eastAsia="宋体" w:cs="Times New Roman"/>
          <w:szCs w:val="24"/>
          <w:highlight w:val="green"/>
        </w:rPr>
        <w:t>3.2.1 报价应包括国家规定的增值税税金</w:t>
      </w:r>
      <w:r>
        <w:rPr>
          <w:rFonts w:hint="eastAsia" w:ascii="Times New Roman" w:hAnsi="Times New Roman" w:eastAsia="宋体" w:cs="Times New Roman"/>
          <w:szCs w:val="24"/>
          <w:highlight w:val="green"/>
        </w:rPr>
        <w:t>，供应商应提供增值税发票13%</w:t>
      </w:r>
      <w:r>
        <w:rPr>
          <w:rFonts w:ascii="Times New Roman" w:hAnsi="Times New Roman" w:eastAsia="宋体" w:cs="Times New Roman"/>
          <w:szCs w:val="24"/>
          <w:highlight w:val="green"/>
        </w:rPr>
        <w:t>。</w:t>
      </w:r>
    </w:p>
    <w:p w14:paraId="14872BB2">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 xml:space="preserve">3.2.2 </w:t>
      </w:r>
      <w:r>
        <w:rPr>
          <w:rFonts w:ascii="Times New Roman" w:hAnsi="Times New Roman" w:eastAsia="宋体" w:cs="Times New Roman"/>
          <w:szCs w:val="24"/>
        </w:rPr>
        <w:t>供应商应按第六章“响应文件格式”的要求在报价函中进行报价并填写</w:t>
      </w:r>
      <w:r>
        <w:rPr>
          <w:rFonts w:hint="eastAsia" w:ascii="Times New Roman" w:hAnsi="Times New Roman" w:eastAsia="宋体" w:cs="Times New Roman"/>
          <w:szCs w:val="24"/>
        </w:rPr>
        <w:t>报价清单</w:t>
      </w:r>
      <w:r>
        <w:rPr>
          <w:rFonts w:ascii="Times New Roman" w:hAnsi="Times New Roman" w:eastAsia="宋体" w:cs="Times New Roman"/>
          <w:szCs w:val="24"/>
        </w:rPr>
        <w:t>相应表格。</w:t>
      </w:r>
    </w:p>
    <w:p w14:paraId="6540E83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3.2.</w:t>
      </w:r>
      <w:r>
        <w:rPr>
          <w:rFonts w:hint="eastAsia" w:ascii="Times New Roman" w:hAnsi="Times New Roman" w:eastAsia="宋体" w:cs="Times New Roman"/>
          <w:szCs w:val="24"/>
        </w:rPr>
        <w:t>3</w:t>
      </w:r>
      <w:r>
        <w:rPr>
          <w:rFonts w:ascii="Times New Roman" w:hAnsi="Times New Roman" w:eastAsia="宋体" w:cs="Times New Roman"/>
          <w:szCs w:val="24"/>
        </w:rPr>
        <w:t>采购人设有最高限价的，供应商的报价不得超过最高限价，</w:t>
      </w:r>
      <w:r>
        <w:rPr>
          <w:rFonts w:hint="eastAsia" w:ascii="Times New Roman" w:hAnsi="Times New Roman" w:eastAsia="宋体" w:cs="Times New Roman"/>
          <w:szCs w:val="24"/>
        </w:rPr>
        <w:t>否则其报价将被否决，</w:t>
      </w:r>
      <w:r>
        <w:rPr>
          <w:rFonts w:ascii="Times New Roman" w:hAnsi="Times New Roman" w:eastAsia="宋体" w:cs="Times New Roman"/>
          <w:szCs w:val="24"/>
        </w:rPr>
        <w:t>最高限价</w:t>
      </w:r>
      <w:r>
        <w:rPr>
          <w:rFonts w:hint="eastAsia" w:ascii="Times New Roman" w:hAnsi="Times New Roman" w:eastAsia="宋体" w:cs="Times New Roman"/>
          <w:szCs w:val="24"/>
        </w:rPr>
        <w:t>见第一章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4"/>
        </w:rPr>
        <w:t>第2.5款</w:t>
      </w:r>
      <w:r>
        <w:rPr>
          <w:rFonts w:ascii="Times New Roman" w:hAnsi="Times New Roman" w:eastAsia="宋体" w:cs="Times New Roman"/>
          <w:szCs w:val="24"/>
        </w:rPr>
        <w:t>。</w:t>
      </w:r>
    </w:p>
    <w:p w14:paraId="370BCCEF">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3.2.4</w:t>
      </w:r>
      <w:r>
        <w:rPr>
          <w:rFonts w:ascii="Times New Roman" w:hAnsi="Times New Roman" w:eastAsia="宋体" w:cs="Times New Roman"/>
          <w:szCs w:val="24"/>
        </w:rPr>
        <w:t>本项目的报价方式</w:t>
      </w:r>
      <w:r>
        <w:rPr>
          <w:rFonts w:hint="eastAsia" w:ascii="Times New Roman" w:hAnsi="Times New Roman" w:eastAsia="宋体" w:cs="Times New Roman"/>
          <w:szCs w:val="24"/>
        </w:rPr>
        <w:t>为</w:t>
      </w:r>
      <w:r>
        <w:rPr>
          <w:rFonts w:hint="eastAsia" w:ascii="Times New Roman" w:hAnsi="Times New Roman" w:eastAsia="宋体" w:cs="Times New Roman"/>
          <w:szCs w:val="24"/>
          <w:u w:val="single"/>
        </w:rPr>
        <w:t>（总价）</w:t>
      </w:r>
      <w:r>
        <w:rPr>
          <w:rFonts w:ascii="Times New Roman" w:hAnsi="Times New Roman" w:eastAsia="宋体" w:cs="Times New Roman"/>
          <w:szCs w:val="24"/>
        </w:rPr>
        <w:t>。</w:t>
      </w:r>
    </w:p>
    <w:p w14:paraId="26800DD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3.2.</w:t>
      </w:r>
      <w:r>
        <w:rPr>
          <w:rFonts w:hint="eastAsia" w:ascii="Times New Roman" w:hAnsi="Times New Roman" w:eastAsia="宋体" w:cs="Times New Roman"/>
          <w:szCs w:val="24"/>
        </w:rPr>
        <w:t>5</w:t>
      </w:r>
      <w:r>
        <w:rPr>
          <w:rFonts w:ascii="Times New Roman" w:hAnsi="Times New Roman" w:eastAsia="宋体" w:cs="Times New Roman"/>
          <w:szCs w:val="24"/>
        </w:rPr>
        <w:t>报价的其他要求</w:t>
      </w:r>
      <w:r>
        <w:rPr>
          <w:rFonts w:hint="eastAsia" w:ascii="Times New Roman" w:hAnsi="Times New Roman" w:eastAsia="宋体" w:cs="Times New Roman"/>
          <w:szCs w:val="24"/>
        </w:rPr>
        <w:t>：</w:t>
      </w:r>
    </w:p>
    <w:p w14:paraId="0D675452">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7F8EF2D1">
      <w:pPr>
        <w:spacing w:line="440" w:lineRule="exact"/>
        <w:ind w:firstLine="420"/>
        <w:rPr>
          <w:rFonts w:ascii="Times New Roman" w:hAnsi="Times New Roman" w:eastAsia="宋体" w:cs="Times New Roman"/>
          <w:szCs w:val="24"/>
        </w:rPr>
      </w:pPr>
      <w:r>
        <w:rPr>
          <w:rFonts w:hint="eastAsia" w:ascii="宋体" w:hAnsi="宋体" w:eastAsia="宋体" w:cs="宋体"/>
          <w:szCs w:val="21"/>
        </w:rPr>
        <w:t>2、总价为设备生产、制造及保险、销售差价、供货、包装运输、安装、调试、验收、取证、培训、技术服务、损耗费、附属材料费、售后服务、税金、质保期维护维修服务等全部内容报价。</w:t>
      </w:r>
    </w:p>
    <w:p w14:paraId="17714B8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7CC0C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eastAsia="宋体" w:cs="Times New Roman"/>
          <w:szCs w:val="24"/>
        </w:rPr>
        <w:t>日。</w:t>
      </w:r>
    </w:p>
    <w:p w14:paraId="4065862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3.3.2 在响应有效期内，供应商撤销响应文件的，应承担询比文件和法律规定的责任。</w:t>
      </w:r>
    </w:p>
    <w:p w14:paraId="53C9FBDA">
      <w:pPr>
        <w:keepNext/>
        <w:keepLines/>
        <w:spacing w:before="120" w:after="120" w:line="415" w:lineRule="auto"/>
        <w:outlineLvl w:val="2"/>
        <w:rPr>
          <w:rFonts w:ascii="Times New Roman" w:hAnsi="Times New Roman" w:eastAsia="黑体" w:cs="Times New Roman"/>
          <w:bCs/>
          <w:sz w:val="24"/>
          <w:szCs w:val="32"/>
        </w:rPr>
      </w:pPr>
      <w:bookmarkStart w:id="19" w:name="_Toc26656960"/>
      <w:bookmarkStart w:id="20" w:name="_Toc14201229"/>
      <w:r>
        <w:rPr>
          <w:rFonts w:ascii="Times New Roman" w:hAnsi="Times New Roman" w:eastAsia="黑体" w:cs="Times New Roman"/>
          <w:bCs/>
          <w:sz w:val="24"/>
          <w:szCs w:val="32"/>
        </w:rPr>
        <w:t>3.4</w:t>
      </w:r>
      <w:bookmarkEnd w:id="19"/>
      <w:bookmarkEnd w:id="20"/>
      <w:r>
        <w:rPr>
          <w:rFonts w:ascii="Times New Roman" w:hAnsi="Times New Roman" w:eastAsia="黑体" w:cs="Times New Roman"/>
          <w:bCs/>
          <w:sz w:val="24"/>
          <w:szCs w:val="32"/>
        </w:rPr>
        <w:t>响应保证金</w:t>
      </w:r>
    </w:p>
    <w:p w14:paraId="7262531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3.4.1 供应商在递交响应文件的同时，应按</w:t>
      </w:r>
      <w:r>
        <w:rPr>
          <w:rFonts w:hint="eastAsia" w:ascii="Times New Roman" w:hAnsi="Times New Roman" w:eastAsia="宋体" w:cs="Times New Roman"/>
          <w:szCs w:val="24"/>
        </w:rPr>
        <w:t>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4"/>
        </w:rPr>
        <w:t>第7条的要求</w:t>
      </w:r>
      <w:r>
        <w:rPr>
          <w:rFonts w:ascii="Times New Roman" w:hAnsi="Times New Roman" w:eastAsia="宋体" w:cs="Times New Roman"/>
          <w:szCs w:val="24"/>
        </w:rPr>
        <w:t>递交响应保证金，并作为其响应文件的组成部分。</w:t>
      </w:r>
    </w:p>
    <w:p w14:paraId="6B44A3A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无论采取何种形式的响应保证金，响应保证金有效期均应与响应有效期一致。</w:t>
      </w:r>
    </w:p>
    <w:p w14:paraId="456C8A6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3.4.2 供应商不按本章第3.4.1项要求提交响应保证金的，</w:t>
      </w:r>
      <w:r>
        <w:rPr>
          <w:rFonts w:hint="eastAsia" w:ascii="Times New Roman" w:hAnsi="Times New Roman" w:eastAsia="宋体" w:cs="Times New Roman"/>
          <w:szCs w:val="24"/>
        </w:rPr>
        <w:t>评审小组</w:t>
      </w:r>
      <w:r>
        <w:rPr>
          <w:rFonts w:ascii="Times New Roman" w:hAnsi="Times New Roman" w:eastAsia="宋体" w:cs="Times New Roman"/>
          <w:szCs w:val="24"/>
        </w:rPr>
        <w:t>将否决其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2F757E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3.4.3 采购人在与成交人签订合同后5日内办理退还响应保证金手续。</w:t>
      </w:r>
    </w:p>
    <w:p w14:paraId="62E75C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3.4.4 有下列情形之一的，响应保证金将不予退还：</w:t>
      </w:r>
    </w:p>
    <w:p w14:paraId="42368A0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（1）供应商在规定的响应有效期内撤销其响应文件；</w:t>
      </w:r>
    </w:p>
    <w:p w14:paraId="64B7E0D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27E464FA">
      <w:pPr>
        <w:keepNext/>
        <w:keepLines/>
        <w:spacing w:before="120" w:after="120"/>
        <w:outlineLvl w:val="2"/>
        <w:rPr>
          <w:rFonts w:ascii="Times New Roman" w:hAnsi="Times New Roman" w:eastAsia="黑体" w:cs="Times New Roman"/>
          <w:bCs/>
          <w:sz w:val="24"/>
          <w:szCs w:val="32"/>
        </w:rPr>
      </w:pPr>
      <w:bookmarkStart w:id="21" w:name="_Toc26656961"/>
      <w:bookmarkStart w:id="22" w:name="_Toc14201230"/>
      <w:r>
        <w:rPr>
          <w:rFonts w:ascii="Times New Roman" w:hAnsi="Times New Roman" w:eastAsia="黑体" w:cs="Times New Roman"/>
          <w:bCs/>
          <w:sz w:val="24"/>
          <w:szCs w:val="32"/>
        </w:rPr>
        <w:t>3.5资格审查资料</w:t>
      </w:r>
      <w:bookmarkEnd w:id="21"/>
      <w:bookmarkEnd w:id="22"/>
    </w:p>
    <w:p w14:paraId="29C5FFA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供应商应按第六章“响应文件格式”</w:t>
      </w:r>
      <w:r>
        <w:rPr>
          <w:rFonts w:hint="eastAsia" w:ascii="Times New Roman" w:hAnsi="Times New Roman" w:eastAsia="宋体" w:cs="Times New Roman"/>
          <w:szCs w:val="24"/>
        </w:rPr>
        <w:t>的</w:t>
      </w:r>
      <w:r>
        <w:rPr>
          <w:rFonts w:ascii="Times New Roman" w:hAnsi="Times New Roman" w:eastAsia="宋体" w:cs="Times New Roman"/>
          <w:szCs w:val="24"/>
        </w:rPr>
        <w:t>规定提供资格审查资料，以证明其满足本章第1.</w:t>
      </w:r>
      <w:r>
        <w:rPr>
          <w:rFonts w:hint="eastAsia" w:ascii="Times New Roman" w:hAnsi="Times New Roman" w:eastAsia="宋体" w:cs="Times New Roman"/>
          <w:szCs w:val="24"/>
        </w:rPr>
        <w:t>2</w:t>
      </w:r>
      <w:r>
        <w:rPr>
          <w:rFonts w:ascii="Times New Roman" w:hAnsi="Times New Roman" w:eastAsia="宋体" w:cs="Times New Roman"/>
          <w:szCs w:val="24"/>
        </w:rPr>
        <w:t>款规定的资质、业绩、信誉等要求。</w:t>
      </w:r>
    </w:p>
    <w:p w14:paraId="2BDEA2F7">
      <w:pPr>
        <w:keepNext/>
        <w:keepLines/>
        <w:spacing w:before="120" w:after="120"/>
        <w:outlineLvl w:val="2"/>
        <w:rPr>
          <w:rFonts w:ascii="Times New Roman" w:hAnsi="Times New Roman" w:eastAsia="黑体" w:cs="Times New Roman"/>
          <w:bCs/>
          <w:sz w:val="24"/>
          <w:szCs w:val="32"/>
        </w:rPr>
      </w:pPr>
      <w:bookmarkStart w:id="23" w:name="_Toc14201232"/>
      <w:bookmarkStart w:id="24"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23"/>
      <w:bookmarkEnd w:id="24"/>
    </w:p>
    <w:p w14:paraId="62D813E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.1响应文件应按第六章“响应文件格式”进行编写，如有必要，可以增加附页，作为响应文件的组成部分。</w:t>
      </w:r>
    </w:p>
    <w:p w14:paraId="3CDCD24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.2 响应文件应当对询比文件有关</w:t>
      </w:r>
      <w:r>
        <w:rPr>
          <w:rFonts w:hint="eastAsia" w:ascii="Times New Roman" w:hAnsi="Times New Roman" w:eastAsia="宋体" w:cs="Times New Roman"/>
          <w:szCs w:val="24"/>
        </w:rPr>
        <w:t>交货</w:t>
      </w:r>
      <w:r>
        <w:rPr>
          <w:rFonts w:ascii="Times New Roman" w:hAnsi="Times New Roman" w:eastAsia="宋体" w:cs="Times New Roman"/>
          <w:szCs w:val="24"/>
        </w:rPr>
        <w:t>期、响应有效期、质量要求、技术标准和要求、</w:t>
      </w:r>
      <w:r>
        <w:rPr>
          <w:rFonts w:hint="eastAsia" w:ascii="Times New Roman" w:hAnsi="Times New Roman" w:eastAsia="宋体" w:cs="Times New Roman"/>
          <w:szCs w:val="24"/>
        </w:rPr>
        <w:t>采购范围</w:t>
      </w:r>
      <w:r>
        <w:rPr>
          <w:rFonts w:ascii="Times New Roman" w:hAnsi="Times New Roman" w:eastAsia="宋体" w:cs="Times New Roman"/>
          <w:szCs w:val="24"/>
        </w:rPr>
        <w:t>等实质性内容作出响应。</w:t>
      </w:r>
    </w:p>
    <w:p w14:paraId="737F2CE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.3响应文件的制作应满足以下规定：</w:t>
      </w:r>
    </w:p>
    <w:p w14:paraId="0BCECF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响应</w:t>
      </w:r>
      <w:r>
        <w:rPr>
          <w:rFonts w:ascii="Times New Roman" w:hAnsi="Times New Roman" w:eastAsia="宋体" w:cs="Times New Roman"/>
          <w:szCs w:val="24"/>
        </w:rPr>
        <w:t>文件应用不褪色的材料书写或打印，并按第六章“</w:t>
      </w:r>
      <w:r>
        <w:rPr>
          <w:rFonts w:hint="eastAsia" w:ascii="Times New Roman" w:hAnsi="Times New Roman" w:eastAsia="宋体" w:cs="Times New Roman"/>
          <w:szCs w:val="24"/>
        </w:rPr>
        <w:t>响应文件</w:t>
      </w:r>
      <w:r>
        <w:rPr>
          <w:rFonts w:ascii="Times New Roman" w:hAnsi="Times New Roman" w:eastAsia="宋体" w:cs="Times New Roman"/>
          <w:szCs w:val="24"/>
        </w:rPr>
        <w:t>格式”的要求进行</w:t>
      </w:r>
      <w:r>
        <w:rPr>
          <w:rFonts w:hint="eastAsia" w:ascii="Times New Roman" w:hAnsi="Times New Roman" w:eastAsia="宋体" w:cs="Times New Roman"/>
          <w:szCs w:val="24"/>
        </w:rPr>
        <w:t>签名</w:t>
      </w:r>
      <w:r>
        <w:rPr>
          <w:rFonts w:ascii="Times New Roman" w:hAnsi="Times New Roman" w:eastAsia="宋体" w:cs="Times New Roman"/>
          <w:szCs w:val="24"/>
        </w:rPr>
        <w:t>和（或）盖章。</w:t>
      </w:r>
      <w:r>
        <w:rPr>
          <w:rFonts w:hint="eastAsia" w:ascii="Times New Roman" w:hAnsi="Times New Roman" w:eastAsia="宋体" w:cs="Times New Roman"/>
          <w:szCs w:val="24"/>
        </w:rPr>
        <w:t>响应</w:t>
      </w:r>
      <w:r>
        <w:rPr>
          <w:rFonts w:ascii="Times New Roman" w:hAnsi="Times New Roman" w:eastAsia="宋体" w:cs="Times New Roman"/>
          <w:szCs w:val="24"/>
        </w:rPr>
        <w:t>文件应尽量避免涂改、行间插字或删除。如果出现上述情况，改动之处应由</w:t>
      </w:r>
      <w:r>
        <w:rPr>
          <w:rFonts w:hint="eastAsia" w:ascii="Times New Roman" w:hAnsi="Times New Roman" w:eastAsia="宋体" w:cs="Times New Roman"/>
          <w:szCs w:val="24"/>
        </w:rPr>
        <w:t>供应商</w:t>
      </w:r>
      <w:r>
        <w:rPr>
          <w:rFonts w:ascii="Times New Roman" w:hAnsi="Times New Roman" w:eastAsia="宋体" w:cs="Times New Roman"/>
          <w:szCs w:val="24"/>
        </w:rPr>
        <w:t>的法定代表人或其授权的代理人</w:t>
      </w:r>
      <w:r>
        <w:rPr>
          <w:rFonts w:hint="eastAsia" w:ascii="Times New Roman" w:hAnsi="Times New Roman" w:eastAsia="宋体" w:cs="Times New Roman"/>
          <w:szCs w:val="24"/>
        </w:rPr>
        <w:t>签名</w:t>
      </w:r>
      <w:r>
        <w:rPr>
          <w:rFonts w:ascii="Times New Roman" w:hAnsi="Times New Roman" w:eastAsia="宋体" w:cs="Times New Roman"/>
          <w:szCs w:val="24"/>
        </w:rPr>
        <w:t>或盖单位章。</w:t>
      </w:r>
    </w:p>
    <w:p w14:paraId="16C5A07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响应文件</w:t>
      </w:r>
      <w:r>
        <w:rPr>
          <w:rFonts w:ascii="Times New Roman" w:hAnsi="Times New Roman" w:eastAsia="宋体" w:cs="Times New Roman"/>
          <w:szCs w:val="24"/>
        </w:rPr>
        <w:t>正本一份，副本</w:t>
      </w:r>
      <w:r>
        <w:rPr>
          <w:rFonts w:hint="eastAsia" w:ascii="Times New Roman" w:hAnsi="Times New Roman" w:eastAsia="宋体" w:cs="Times New Roman"/>
          <w:szCs w:val="24"/>
        </w:rPr>
        <w:t>二</w:t>
      </w:r>
      <w:r>
        <w:rPr>
          <w:rFonts w:ascii="Times New Roman" w:hAnsi="Times New Roman" w:eastAsia="宋体" w:cs="Times New Roman"/>
          <w:szCs w:val="24"/>
        </w:rPr>
        <w:t>份。正本和副本的封面右上角上应清楚地标记“正本”或“副本”的字样。当副本和正本不一致时，以正本文件为准。</w:t>
      </w:r>
    </w:p>
    <w:p w14:paraId="0A4B3DDF">
      <w:pPr>
        <w:spacing w:line="440" w:lineRule="exact"/>
        <w:ind w:firstLine="420"/>
        <w:rPr>
          <w:rFonts w:ascii="Times New Roman" w:hAnsi="Times New Roman" w:eastAsia="宋体" w:cs="Times New Roman"/>
          <w:szCs w:val="24"/>
          <w:highlight w:val="green"/>
        </w:rPr>
      </w:pPr>
      <w:r>
        <w:rPr>
          <w:rFonts w:ascii="Times New Roman" w:hAnsi="Times New Roman" w:eastAsia="宋体" w:cs="Times New Roman"/>
          <w:szCs w:val="24"/>
          <w:highlight w:val="green"/>
        </w:rPr>
        <w:t>（3）</w:t>
      </w:r>
      <w:r>
        <w:rPr>
          <w:rFonts w:hint="eastAsia" w:ascii="Times New Roman" w:hAnsi="Times New Roman" w:eastAsia="宋体" w:cs="Times New Roman"/>
          <w:szCs w:val="24"/>
          <w:highlight w:val="green"/>
        </w:rPr>
        <w:t>响应文件</w:t>
      </w:r>
      <w:r>
        <w:rPr>
          <w:rFonts w:ascii="Times New Roman" w:hAnsi="Times New Roman" w:eastAsia="宋体" w:cs="Times New Roman"/>
          <w:szCs w:val="24"/>
          <w:highlight w:val="green"/>
        </w:rPr>
        <w:t>的正本与副本</w:t>
      </w:r>
      <w:r>
        <w:rPr>
          <w:rFonts w:hint="eastAsia" w:ascii="Times New Roman" w:hAnsi="Times New Roman" w:eastAsia="宋体" w:cs="Times New Roman"/>
          <w:szCs w:val="24"/>
          <w:highlight w:val="green"/>
        </w:rPr>
        <w:t>需胶装密封</w:t>
      </w:r>
      <w:r>
        <w:rPr>
          <w:rFonts w:ascii="Times New Roman" w:hAnsi="Times New Roman" w:eastAsia="宋体" w:cs="Times New Roman"/>
          <w:szCs w:val="24"/>
          <w:highlight w:val="green"/>
        </w:rPr>
        <w:t>装订。</w:t>
      </w:r>
    </w:p>
    <w:p w14:paraId="1EE5AF84">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49AA0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CD16D3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4.1.1响应文件</w:t>
      </w:r>
      <w:r>
        <w:rPr>
          <w:rFonts w:hint="eastAsia" w:ascii="Times New Roman" w:hAnsi="Times New Roman" w:eastAsia="宋体" w:cs="Times New Roman"/>
          <w:szCs w:val="24"/>
        </w:rPr>
        <w:t>正、副本</w:t>
      </w:r>
      <w:r>
        <w:rPr>
          <w:rFonts w:ascii="Times New Roman" w:hAnsi="Times New Roman" w:eastAsia="宋体" w:cs="Times New Roman"/>
          <w:szCs w:val="24"/>
        </w:rPr>
        <w:t>应密封包装</w:t>
      </w:r>
      <w:r>
        <w:rPr>
          <w:rFonts w:hint="eastAsia" w:ascii="Times New Roman" w:hAnsi="Times New Roman" w:eastAsia="宋体" w:cs="Times New Roman"/>
          <w:szCs w:val="24"/>
        </w:rPr>
        <w:t>在一个封套内，封套上注明：</w:t>
      </w:r>
    </w:p>
    <w:p w14:paraId="17F59434">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A405189">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szCs w:val="24"/>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17D0D221">
      <w:pPr>
        <w:spacing w:line="440" w:lineRule="exact"/>
        <w:ind w:firstLine="420"/>
        <w:rPr>
          <w:rFonts w:ascii="宋体" w:hAnsi="宋体" w:eastAsia="宋体" w:cs="宋体"/>
          <w:szCs w:val="24"/>
        </w:rPr>
      </w:pPr>
      <w:r>
        <w:rPr>
          <w:rFonts w:hint="eastAsia" w:ascii="宋体" w:hAnsi="宋体" w:eastAsia="宋体" w:cs="宋体"/>
          <w:bCs/>
          <w:snapToGrid w:val="0"/>
          <w:kern w:val="0"/>
          <w:szCs w:val="21"/>
        </w:rPr>
        <w:t>在年月日时分（递交响应文件的截止时间）前不得开启</w:t>
      </w:r>
    </w:p>
    <w:p w14:paraId="6631A319">
      <w:pPr>
        <w:spacing w:line="440" w:lineRule="exact"/>
        <w:ind w:firstLine="420"/>
        <w:rPr>
          <w:rFonts w:ascii="Times New Roman" w:hAnsi="Times New Roman" w:eastAsia="宋体" w:cs="Times New Roman"/>
          <w:szCs w:val="24"/>
        </w:rPr>
      </w:pPr>
      <w:r>
        <w:rPr>
          <w:rFonts w:hint="eastAsia" w:ascii="宋体" w:hAnsi="宋体" w:eastAsia="宋体" w:cs="宋体"/>
          <w:szCs w:val="24"/>
        </w:rPr>
        <w:t>4.1.2未按本章第4.1.1项要求密封的响应文件，采购人将予以</w:t>
      </w:r>
      <w:r>
        <w:rPr>
          <w:rFonts w:ascii="Times New Roman" w:hAnsi="Times New Roman" w:eastAsia="宋体" w:cs="Times New Roman"/>
          <w:szCs w:val="24"/>
        </w:rPr>
        <w:t>拒收。</w:t>
      </w:r>
    </w:p>
    <w:p w14:paraId="27A51C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4FF603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4.2.1供应商应当</w:t>
      </w:r>
      <w:r>
        <w:rPr>
          <w:rFonts w:hint="eastAsia" w:ascii="Times New Roman" w:hAnsi="Times New Roman" w:eastAsia="宋体" w:cs="Times New Roman"/>
          <w:szCs w:val="24"/>
        </w:rPr>
        <w:t>按照第一章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1"/>
        </w:rPr>
        <w:t>第5条的规定递交响应文件</w:t>
      </w:r>
      <w:r>
        <w:rPr>
          <w:rFonts w:ascii="Times New Roman" w:hAnsi="Times New Roman" w:eastAsia="宋体" w:cs="Times New Roman"/>
          <w:szCs w:val="24"/>
        </w:rPr>
        <w:t>。</w:t>
      </w:r>
    </w:p>
    <w:p w14:paraId="4A87894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4.2.</w:t>
      </w:r>
      <w:r>
        <w:rPr>
          <w:rFonts w:hint="eastAsia" w:ascii="Times New Roman" w:hAnsi="Times New Roman" w:eastAsia="宋体" w:cs="Times New Roman"/>
          <w:szCs w:val="24"/>
        </w:rPr>
        <w:t>2递交响应文件的供应商数量不足3家时，采购人将宣布本次采购失败，并退还已递交的响应文件。</w:t>
      </w:r>
    </w:p>
    <w:p w14:paraId="14ABDB7F">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4.2.3 除第4.2.2项规定外，</w:t>
      </w:r>
      <w:r>
        <w:rPr>
          <w:rFonts w:ascii="Times New Roman" w:hAnsi="Times New Roman" w:eastAsia="宋体" w:cs="Times New Roman"/>
          <w:szCs w:val="24"/>
        </w:rPr>
        <w:t>供应商所递交的响应文件不予退还。</w:t>
      </w:r>
    </w:p>
    <w:p w14:paraId="369C8CC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4742A2E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3189C74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采购人在本章第4.2.1项规定的响应文件递交截止时间（启封时间），</w:t>
      </w:r>
      <w:r>
        <w:rPr>
          <w:rFonts w:hint="eastAsia" w:ascii="Times New Roman" w:hAnsi="Times New Roman" w:eastAsia="宋体" w:cs="Times New Roman"/>
          <w:szCs w:val="24"/>
        </w:rPr>
        <w:t>按照第一章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1"/>
        </w:rPr>
        <w:t>/</w:t>
      </w:r>
      <w:r>
        <w:rPr>
          <w:rFonts w:hint="eastAsia" w:ascii="Times New Roman" w:hAnsi="Times New Roman" w:eastAsia="宋体" w:cs="Times New Roman"/>
          <w:szCs w:val="21"/>
        </w:rPr>
        <w:t>采购邀请书</w:t>
      </w:r>
      <w:r>
        <w:rPr>
          <w:rFonts w:ascii="Times New Roman" w:hAnsi="Times New Roman" w:eastAsia="宋体" w:cs="Times New Roman"/>
          <w:szCs w:val="24"/>
        </w:rPr>
        <w:t>”</w:t>
      </w:r>
      <w:r>
        <w:rPr>
          <w:rFonts w:hint="eastAsia" w:ascii="Times New Roman" w:hAnsi="Times New Roman" w:eastAsia="宋体" w:cs="Times New Roman"/>
          <w:szCs w:val="21"/>
        </w:rPr>
        <w:t>第6条的规定进行启封</w:t>
      </w:r>
      <w:r>
        <w:rPr>
          <w:rFonts w:ascii="Times New Roman" w:hAnsi="Times New Roman" w:eastAsia="宋体" w:cs="Times New Roman"/>
          <w:szCs w:val="24"/>
        </w:rPr>
        <w:t>。</w:t>
      </w:r>
    </w:p>
    <w:p w14:paraId="3421911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供应商若未派法定代表人或其委托代理人出席启封活动，视为该供应商默认启封结果。</w:t>
      </w:r>
    </w:p>
    <w:p w14:paraId="423E15C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1DB0D5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5.2.1主持人按下列程序进行启封：</w:t>
      </w:r>
    </w:p>
    <w:p w14:paraId="23965A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（1）公布在响应文件递交截止时间</w:t>
      </w:r>
      <w:r>
        <w:rPr>
          <w:rFonts w:hint="eastAsia" w:ascii="Times New Roman" w:hAnsi="Times New Roman" w:eastAsia="宋体" w:cs="Times New Roman"/>
          <w:szCs w:val="24"/>
        </w:rPr>
        <w:t>前</w:t>
      </w:r>
      <w:r>
        <w:rPr>
          <w:rFonts w:ascii="Times New Roman" w:hAnsi="Times New Roman" w:eastAsia="宋体" w:cs="Times New Roman"/>
          <w:szCs w:val="24"/>
        </w:rPr>
        <w:t>递交响应文件的供应商名称；</w:t>
      </w:r>
    </w:p>
    <w:p w14:paraId="44DDC87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（2）由供应商推选的代表检查响应文件的密封情况；</w:t>
      </w:r>
    </w:p>
    <w:p w14:paraId="3CD184A2">
      <w:pPr>
        <w:spacing w:line="440" w:lineRule="exact"/>
        <w:ind w:firstLine="420"/>
        <w:rPr>
          <w:rFonts w:ascii="Times New Roman" w:hAnsi="Times New Roman" w:eastAsia="宋体" w:cs="Times New Roman"/>
          <w:bCs/>
          <w:szCs w:val="24"/>
        </w:rPr>
      </w:pPr>
      <w:r>
        <w:rPr>
          <w:rFonts w:ascii="Times New Roman" w:hAnsi="Times New Roman" w:eastAsia="宋体" w:cs="Times New Roman"/>
          <w:szCs w:val="24"/>
        </w:rPr>
        <w:t>（3）</w:t>
      </w:r>
      <w:r>
        <w:rPr>
          <w:rFonts w:ascii="Times New Roman" w:hAnsi="Times New Roman" w:eastAsia="宋体" w:cs="Times New Roman"/>
          <w:bCs/>
          <w:szCs w:val="24"/>
        </w:rPr>
        <w:t>对响应文件进行启封，公布供应商名称、合同包名称、报价、质量目标、</w:t>
      </w:r>
      <w:r>
        <w:rPr>
          <w:rFonts w:hint="eastAsia" w:ascii="Times New Roman" w:hAnsi="Times New Roman" w:eastAsia="宋体" w:cs="Times New Roman"/>
          <w:bCs/>
          <w:szCs w:val="24"/>
        </w:rPr>
        <w:t>交货</w:t>
      </w:r>
      <w:r>
        <w:rPr>
          <w:rFonts w:ascii="Times New Roman" w:hAnsi="Times New Roman" w:eastAsia="宋体" w:cs="Times New Roman"/>
          <w:bCs/>
          <w:szCs w:val="24"/>
        </w:rPr>
        <w:t>期、响应保证金递交情况及其他内容；</w:t>
      </w:r>
    </w:p>
    <w:p w14:paraId="201E974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w:t>
      </w:r>
      <w:r>
        <w:rPr>
          <w:rFonts w:hint="eastAsia" w:ascii="Times New Roman" w:hAnsi="Times New Roman" w:eastAsia="宋体" w:cs="Times New Roman"/>
          <w:szCs w:val="24"/>
        </w:rPr>
        <w:t>4</w:t>
      </w:r>
      <w:r>
        <w:rPr>
          <w:rFonts w:ascii="Times New Roman" w:hAnsi="Times New Roman" w:eastAsia="宋体" w:cs="Times New Roman"/>
          <w:szCs w:val="24"/>
        </w:rPr>
        <w:t>）</w:t>
      </w:r>
      <w:r>
        <w:rPr>
          <w:rFonts w:hint="eastAsia" w:ascii="Times New Roman" w:hAnsi="Times New Roman" w:eastAsia="宋体" w:cs="Times New Roman"/>
          <w:szCs w:val="24"/>
        </w:rPr>
        <w:t>供应商</w:t>
      </w:r>
      <w:r>
        <w:rPr>
          <w:rFonts w:ascii="Times New Roman" w:hAnsi="Times New Roman" w:eastAsia="宋体" w:cs="Times New Roman"/>
          <w:szCs w:val="24"/>
        </w:rPr>
        <w:t>代表、</w:t>
      </w:r>
      <w:r>
        <w:rPr>
          <w:rFonts w:hint="eastAsia" w:ascii="Times New Roman" w:hAnsi="Times New Roman" w:eastAsia="宋体" w:cs="Times New Roman"/>
          <w:szCs w:val="24"/>
        </w:rPr>
        <w:t>采购</w:t>
      </w:r>
      <w:r>
        <w:rPr>
          <w:rFonts w:ascii="Times New Roman" w:hAnsi="Times New Roman" w:eastAsia="宋体" w:cs="Times New Roman"/>
          <w:szCs w:val="24"/>
        </w:rPr>
        <w:t>人代表、记录人等有关人员在</w:t>
      </w:r>
      <w:r>
        <w:rPr>
          <w:rFonts w:hint="eastAsia" w:ascii="Times New Roman" w:hAnsi="Times New Roman" w:eastAsia="宋体" w:cs="Times New Roman"/>
          <w:szCs w:val="24"/>
        </w:rPr>
        <w:t>文件签到表签名</w:t>
      </w:r>
      <w:r>
        <w:rPr>
          <w:rFonts w:ascii="Times New Roman" w:hAnsi="Times New Roman" w:eastAsia="宋体" w:cs="Times New Roman"/>
          <w:szCs w:val="24"/>
        </w:rPr>
        <w:t>确认；</w:t>
      </w:r>
    </w:p>
    <w:p w14:paraId="1A22A577">
      <w:pPr>
        <w:spacing w:line="440" w:lineRule="exact"/>
        <w:ind w:firstLine="420"/>
        <w:rPr>
          <w:rFonts w:ascii="Times New Roman" w:hAnsi="Times New Roman" w:eastAsia="宋体" w:cs="Times New Roman"/>
          <w:bCs/>
          <w:szCs w:val="24"/>
        </w:rPr>
      </w:pPr>
      <w:r>
        <w:rPr>
          <w:rFonts w:ascii="Times New Roman" w:hAnsi="Times New Roman" w:eastAsia="宋体" w:cs="Times New Roman"/>
          <w:bCs/>
          <w:szCs w:val="24"/>
        </w:rPr>
        <w:t>（</w:t>
      </w:r>
      <w:r>
        <w:rPr>
          <w:rFonts w:hint="eastAsia" w:ascii="Times New Roman" w:hAnsi="Times New Roman" w:eastAsia="宋体" w:cs="Times New Roman"/>
          <w:bCs/>
          <w:szCs w:val="24"/>
        </w:rPr>
        <w:t>5</w:t>
      </w:r>
      <w:r>
        <w:rPr>
          <w:rFonts w:ascii="Times New Roman" w:hAnsi="Times New Roman" w:eastAsia="宋体" w:cs="Times New Roman"/>
          <w:bCs/>
          <w:szCs w:val="24"/>
        </w:rPr>
        <w:t>）</w:t>
      </w:r>
      <w:r>
        <w:rPr>
          <w:rFonts w:hint="eastAsia" w:ascii="Times New Roman" w:hAnsi="Times New Roman" w:eastAsia="宋体" w:cs="Times New Roman"/>
          <w:bCs/>
          <w:szCs w:val="24"/>
        </w:rPr>
        <w:t>启封</w:t>
      </w:r>
      <w:r>
        <w:rPr>
          <w:rFonts w:ascii="Times New Roman" w:hAnsi="Times New Roman" w:eastAsia="宋体" w:cs="Times New Roman"/>
          <w:szCs w:val="24"/>
        </w:rPr>
        <w:t>结束</w:t>
      </w:r>
      <w:r>
        <w:rPr>
          <w:rFonts w:ascii="Times New Roman" w:hAnsi="Times New Roman" w:eastAsia="宋体" w:cs="Times New Roman"/>
          <w:bCs/>
          <w:szCs w:val="24"/>
        </w:rPr>
        <w:t>。</w:t>
      </w:r>
    </w:p>
    <w:p w14:paraId="6A29BAD0">
      <w:pPr>
        <w:spacing w:line="440" w:lineRule="exact"/>
        <w:ind w:firstLine="420"/>
        <w:rPr>
          <w:rFonts w:ascii="Times New Roman" w:hAnsi="Times New Roman" w:eastAsia="宋体" w:cs="Times New Roman"/>
          <w:szCs w:val="24"/>
        </w:rPr>
      </w:pPr>
      <w:r>
        <w:rPr>
          <w:rFonts w:ascii="Times New Roman" w:hAnsi="Times New Roman" w:eastAsia="宋体" w:cs="Times New Roman"/>
          <w:bCs/>
          <w:szCs w:val="24"/>
        </w:rPr>
        <w:t>5.2.2</w:t>
      </w:r>
      <w:r>
        <w:rPr>
          <w:rFonts w:ascii="Times New Roman" w:hAnsi="Times New Roman" w:eastAsia="宋体" w:cs="Times New Roman"/>
          <w:szCs w:val="24"/>
        </w:rPr>
        <w:t>供应商</w:t>
      </w:r>
      <w:r>
        <w:rPr>
          <w:rFonts w:hint="eastAsia" w:ascii="Times New Roman" w:hAnsi="Times New Roman" w:eastAsia="宋体" w:cs="Times New Roman"/>
          <w:szCs w:val="24"/>
        </w:rPr>
        <w:t>在</w:t>
      </w:r>
      <w:r>
        <w:rPr>
          <w:rFonts w:ascii="Times New Roman" w:hAnsi="Times New Roman" w:eastAsia="宋体" w:cs="Times New Roman"/>
          <w:szCs w:val="24"/>
        </w:rPr>
        <w:t>启封过程</w:t>
      </w:r>
      <w:r>
        <w:rPr>
          <w:rFonts w:hint="eastAsia" w:ascii="Times New Roman" w:hAnsi="Times New Roman" w:eastAsia="宋体" w:cs="Times New Roman"/>
          <w:szCs w:val="24"/>
        </w:rPr>
        <w:t>中</w:t>
      </w:r>
      <w:r>
        <w:rPr>
          <w:rFonts w:ascii="Times New Roman" w:hAnsi="Times New Roman" w:eastAsia="宋体" w:cs="Times New Roman"/>
          <w:szCs w:val="24"/>
        </w:rPr>
        <w:t>有</w:t>
      </w:r>
      <w:r>
        <w:rPr>
          <w:rFonts w:hint="eastAsia" w:ascii="Times New Roman" w:hAnsi="Times New Roman" w:eastAsia="宋体" w:cs="Times New Roman"/>
          <w:szCs w:val="24"/>
        </w:rPr>
        <w:t>疑问</w:t>
      </w:r>
      <w:r>
        <w:rPr>
          <w:rFonts w:ascii="Times New Roman" w:hAnsi="Times New Roman" w:eastAsia="宋体" w:cs="Times New Roman"/>
          <w:szCs w:val="24"/>
        </w:rPr>
        <w:t>的，应当在</w:t>
      </w:r>
      <w:r>
        <w:rPr>
          <w:rFonts w:hint="eastAsia" w:ascii="Times New Roman" w:hAnsi="Times New Roman" w:eastAsia="宋体" w:cs="Times New Roman"/>
          <w:szCs w:val="24"/>
        </w:rPr>
        <w:t>现场</w:t>
      </w:r>
      <w:r>
        <w:rPr>
          <w:rFonts w:ascii="Times New Roman" w:hAnsi="Times New Roman" w:eastAsia="宋体" w:cs="Times New Roman"/>
          <w:szCs w:val="24"/>
        </w:rPr>
        <w:t>提出</w:t>
      </w:r>
      <w:r>
        <w:rPr>
          <w:rFonts w:hint="eastAsia" w:ascii="Times New Roman" w:hAnsi="Times New Roman" w:eastAsia="宋体" w:cs="Times New Roman"/>
          <w:szCs w:val="24"/>
        </w:rPr>
        <w:t>，</w:t>
      </w:r>
      <w:r>
        <w:rPr>
          <w:rFonts w:ascii="Times New Roman" w:hAnsi="Times New Roman" w:eastAsia="宋体" w:cs="Times New Roman"/>
          <w:szCs w:val="24"/>
        </w:rPr>
        <w:t>采购人</w:t>
      </w:r>
      <w:r>
        <w:rPr>
          <w:rFonts w:hint="eastAsia" w:ascii="Times New Roman" w:hAnsi="Times New Roman" w:eastAsia="宋体" w:cs="Times New Roman"/>
          <w:szCs w:val="24"/>
        </w:rPr>
        <w:t>将</w:t>
      </w:r>
      <w:r>
        <w:rPr>
          <w:rFonts w:ascii="Times New Roman" w:hAnsi="Times New Roman" w:eastAsia="宋体" w:cs="Times New Roman"/>
          <w:szCs w:val="24"/>
        </w:rPr>
        <w:t>当场作出答复。</w:t>
      </w:r>
    </w:p>
    <w:p w14:paraId="032BA870">
      <w:pPr>
        <w:keepNext/>
        <w:keepLines/>
        <w:spacing w:before="156" w:beforeLines="50" w:after="156" w:afterLines="50"/>
        <w:outlineLvl w:val="1"/>
        <w:rPr>
          <w:rFonts w:ascii="Times New Roman" w:hAnsi="Times New Roman" w:eastAsia="黑体" w:cs="Times New Roman"/>
          <w:bCs/>
          <w:sz w:val="24"/>
          <w:szCs w:val="32"/>
        </w:rPr>
      </w:pPr>
      <w:bookmarkStart w:id="25" w:name="_Toc14201241"/>
      <w:bookmarkStart w:id="26" w:name="_Toc26656972"/>
      <w:bookmarkStart w:id="27" w:name="_Toc9067725"/>
      <w:r>
        <w:rPr>
          <w:rFonts w:ascii="Times New Roman" w:hAnsi="Times New Roman" w:eastAsia="黑体" w:cs="Times New Roman"/>
          <w:bCs/>
          <w:sz w:val="24"/>
          <w:szCs w:val="32"/>
        </w:rPr>
        <w:t>6. 评</w:t>
      </w:r>
      <w:bookmarkEnd w:id="25"/>
      <w:bookmarkEnd w:id="26"/>
      <w:bookmarkEnd w:id="27"/>
      <w:r>
        <w:rPr>
          <w:rFonts w:ascii="Times New Roman" w:hAnsi="Times New Roman" w:eastAsia="黑体" w:cs="Times New Roman"/>
          <w:bCs/>
          <w:sz w:val="24"/>
          <w:szCs w:val="32"/>
        </w:rPr>
        <w:t>审</w:t>
      </w:r>
    </w:p>
    <w:p w14:paraId="2133A766">
      <w:pPr>
        <w:keepNext/>
        <w:keepLines/>
        <w:spacing w:before="120" w:after="120"/>
        <w:outlineLvl w:val="2"/>
        <w:rPr>
          <w:rFonts w:ascii="Times New Roman" w:hAnsi="Times New Roman" w:eastAsia="黑体" w:cs="Times New Roman"/>
          <w:bCs/>
          <w:sz w:val="24"/>
          <w:szCs w:val="32"/>
        </w:rPr>
      </w:pPr>
      <w:bookmarkStart w:id="28" w:name="_Toc14201242"/>
      <w:bookmarkStart w:id="29" w:name="_Toc26656973"/>
      <w:r>
        <w:rPr>
          <w:rFonts w:ascii="Times New Roman" w:hAnsi="Times New Roman" w:eastAsia="黑体" w:cs="Times New Roman"/>
          <w:bCs/>
          <w:sz w:val="24"/>
          <w:szCs w:val="32"/>
        </w:rPr>
        <w:t>6.1</w:t>
      </w:r>
      <w:bookmarkEnd w:id="28"/>
      <w:bookmarkEnd w:id="29"/>
      <w:r>
        <w:rPr>
          <w:rFonts w:hint="eastAsia" w:ascii="Times New Roman" w:hAnsi="Times New Roman" w:eastAsia="黑体" w:cs="Times New Roman"/>
          <w:bCs/>
          <w:sz w:val="24"/>
          <w:szCs w:val="32"/>
        </w:rPr>
        <w:t>评审小组</w:t>
      </w:r>
    </w:p>
    <w:p w14:paraId="6C2CB0D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评审由采购人</w:t>
      </w:r>
      <w:r>
        <w:rPr>
          <w:rFonts w:hint="eastAsia" w:ascii="Times New Roman" w:hAnsi="Times New Roman" w:eastAsia="宋体" w:cs="Times New Roman"/>
          <w:szCs w:val="24"/>
        </w:rPr>
        <w:t>自行</w:t>
      </w:r>
      <w:r>
        <w:rPr>
          <w:rFonts w:ascii="Times New Roman" w:hAnsi="Times New Roman" w:eastAsia="宋体" w:cs="Times New Roman"/>
          <w:szCs w:val="24"/>
        </w:rPr>
        <w:t>组建的</w:t>
      </w:r>
      <w:r>
        <w:rPr>
          <w:rFonts w:hint="eastAsia" w:ascii="Times New Roman" w:hAnsi="Times New Roman" w:eastAsia="宋体" w:cs="Times New Roman"/>
          <w:szCs w:val="24"/>
        </w:rPr>
        <w:t>评审小组</w:t>
      </w:r>
      <w:r>
        <w:rPr>
          <w:rFonts w:ascii="Times New Roman" w:hAnsi="Times New Roman" w:eastAsia="宋体" w:cs="Times New Roman"/>
          <w:szCs w:val="24"/>
        </w:rPr>
        <w:t>负责。</w:t>
      </w:r>
      <w:r>
        <w:rPr>
          <w:rFonts w:hint="eastAsia" w:ascii="Times New Roman" w:hAnsi="Times New Roman" w:eastAsia="宋体" w:cs="Times New Roman"/>
          <w:szCs w:val="24"/>
        </w:rPr>
        <w:t>评审小组人数：3-7人（单数）</w:t>
      </w:r>
      <w:r>
        <w:rPr>
          <w:rFonts w:ascii="Times New Roman" w:hAnsi="Times New Roman" w:eastAsia="宋体" w:cs="Times New Roman"/>
          <w:szCs w:val="24"/>
        </w:rPr>
        <w:t>。</w:t>
      </w:r>
    </w:p>
    <w:p w14:paraId="1250F60F">
      <w:pPr>
        <w:keepNext/>
        <w:keepLines/>
        <w:spacing w:before="120" w:after="120"/>
        <w:outlineLvl w:val="2"/>
        <w:rPr>
          <w:rFonts w:ascii="Times New Roman" w:hAnsi="Times New Roman" w:eastAsia="黑体" w:cs="Times New Roman"/>
          <w:bCs/>
          <w:sz w:val="24"/>
          <w:szCs w:val="32"/>
        </w:rPr>
      </w:pPr>
      <w:bookmarkStart w:id="30" w:name="_Toc26656975"/>
      <w:bookmarkStart w:id="31"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30"/>
      <w:bookmarkEnd w:id="31"/>
      <w:r>
        <w:rPr>
          <w:rFonts w:ascii="Times New Roman" w:hAnsi="Times New Roman" w:eastAsia="黑体" w:cs="Times New Roman"/>
          <w:bCs/>
          <w:sz w:val="24"/>
          <w:szCs w:val="32"/>
        </w:rPr>
        <w:t>审</w:t>
      </w:r>
    </w:p>
    <w:p w14:paraId="0EBBE10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6.</w:t>
      </w:r>
      <w:r>
        <w:rPr>
          <w:rFonts w:hint="eastAsia" w:ascii="Times New Roman" w:hAnsi="Times New Roman" w:eastAsia="宋体" w:cs="Times New Roman"/>
          <w:szCs w:val="24"/>
        </w:rPr>
        <w:t>2</w:t>
      </w:r>
      <w:r>
        <w:rPr>
          <w:rFonts w:ascii="Times New Roman" w:hAnsi="Times New Roman" w:eastAsia="宋体" w:cs="Times New Roman"/>
          <w:szCs w:val="24"/>
        </w:rPr>
        <w:t>.1</w:t>
      </w:r>
      <w:r>
        <w:rPr>
          <w:rFonts w:hint="eastAsia" w:ascii="Times New Roman" w:hAnsi="Times New Roman" w:eastAsia="宋体" w:cs="Times New Roman"/>
          <w:szCs w:val="24"/>
        </w:rPr>
        <w:t>评审小组</w:t>
      </w:r>
      <w:r>
        <w:rPr>
          <w:rFonts w:ascii="Times New Roman" w:hAnsi="Times New Roman" w:eastAsia="宋体" w:cs="Times New Roman"/>
          <w:szCs w:val="24"/>
        </w:rPr>
        <w:t>按照第三章“评审办法”规定的方法、评审因素、标准和程序对响应文件进行评审。</w:t>
      </w:r>
    </w:p>
    <w:p w14:paraId="15C23852">
      <w:pPr>
        <w:spacing w:line="440" w:lineRule="exact"/>
        <w:ind w:firstLine="420"/>
        <w:rPr>
          <w:rFonts w:ascii="Times New Roman" w:hAnsi="Times New Roman" w:eastAsia="宋体" w:cs="Times New Roman"/>
          <w:color w:val="FF0000"/>
          <w:szCs w:val="24"/>
        </w:rPr>
      </w:pPr>
      <w:r>
        <w:rPr>
          <w:rFonts w:ascii="Times New Roman" w:hAnsi="Times New Roman" w:eastAsia="宋体" w:cs="Times New Roman"/>
          <w:szCs w:val="24"/>
        </w:rPr>
        <w:t>6.</w:t>
      </w:r>
      <w:r>
        <w:rPr>
          <w:rFonts w:hint="eastAsia" w:ascii="Times New Roman" w:hAnsi="Times New Roman" w:eastAsia="宋体" w:cs="Times New Roman"/>
          <w:szCs w:val="24"/>
        </w:rPr>
        <w:t>2</w:t>
      </w:r>
      <w:r>
        <w:rPr>
          <w:rFonts w:ascii="Times New Roman" w:hAnsi="Times New Roman" w:eastAsia="宋体" w:cs="Times New Roman"/>
          <w:szCs w:val="24"/>
        </w:rPr>
        <w:t>.2评审完成后，</w:t>
      </w:r>
      <w:r>
        <w:rPr>
          <w:rFonts w:hint="eastAsia" w:ascii="Times New Roman" w:hAnsi="Times New Roman" w:eastAsia="宋体" w:cs="Times New Roman"/>
          <w:szCs w:val="24"/>
        </w:rPr>
        <w:t>评审小组</w:t>
      </w:r>
      <w:r>
        <w:rPr>
          <w:rFonts w:ascii="Times New Roman" w:hAnsi="Times New Roman" w:eastAsia="宋体" w:cs="Times New Roman"/>
          <w:szCs w:val="24"/>
        </w:rPr>
        <w:t>应向采购人提交书面评审报告和成交候选人名单。</w:t>
      </w:r>
      <w:r>
        <w:rPr>
          <w:rFonts w:hint="eastAsia" w:ascii="Times New Roman" w:hAnsi="Times New Roman" w:eastAsia="宋体" w:cs="Times New Roman"/>
          <w:szCs w:val="24"/>
        </w:rPr>
        <w:t>评审小组</w:t>
      </w:r>
      <w:r>
        <w:rPr>
          <w:rFonts w:ascii="Times New Roman" w:hAnsi="Times New Roman" w:eastAsia="宋体" w:cs="Times New Roman"/>
          <w:szCs w:val="24"/>
        </w:rPr>
        <w:t>推荐成交候选人的人数</w:t>
      </w:r>
      <w:r>
        <w:rPr>
          <w:rFonts w:hint="eastAsia" w:ascii="Times New Roman" w:hAnsi="Times New Roman" w:eastAsia="宋体" w:cs="Times New Roman"/>
          <w:szCs w:val="24"/>
        </w:rPr>
        <w:t>为：3人（如不足3人，可以按实际数量推荐）。</w:t>
      </w:r>
    </w:p>
    <w:p w14:paraId="38E22256">
      <w:pPr>
        <w:keepNext/>
        <w:keepLines/>
        <w:spacing w:before="156" w:beforeLines="50" w:after="156" w:afterLines="50"/>
        <w:outlineLvl w:val="1"/>
        <w:rPr>
          <w:rFonts w:ascii="Times New Roman" w:hAnsi="Times New Roman" w:eastAsia="黑体" w:cs="Times New Roman"/>
          <w:bCs/>
          <w:sz w:val="24"/>
          <w:szCs w:val="32"/>
        </w:rPr>
      </w:pPr>
      <w:bookmarkStart w:id="32" w:name="_Toc14201245"/>
      <w:bookmarkStart w:id="33" w:name="_Toc26656976"/>
      <w:bookmarkStart w:id="34" w:name="_Toc9067726"/>
      <w:r>
        <w:rPr>
          <w:rFonts w:ascii="Times New Roman" w:hAnsi="Times New Roman" w:eastAsia="黑体" w:cs="Times New Roman"/>
          <w:bCs/>
          <w:sz w:val="24"/>
          <w:szCs w:val="32"/>
        </w:rPr>
        <w:t>7. 合同授予</w:t>
      </w:r>
      <w:bookmarkEnd w:id="32"/>
      <w:bookmarkEnd w:id="33"/>
      <w:bookmarkEnd w:id="34"/>
    </w:p>
    <w:p w14:paraId="4A6FA84F">
      <w:pPr>
        <w:keepNext/>
        <w:keepLines/>
        <w:spacing w:before="120" w:after="120"/>
        <w:outlineLvl w:val="2"/>
        <w:rPr>
          <w:rFonts w:ascii="Times New Roman" w:hAnsi="Times New Roman" w:eastAsia="黑体" w:cs="Times New Roman"/>
          <w:bCs/>
          <w:sz w:val="24"/>
          <w:szCs w:val="32"/>
        </w:rPr>
      </w:pPr>
      <w:bookmarkStart w:id="35" w:name="_Toc14201246"/>
      <w:bookmarkStart w:id="36" w:name="_Toc26656977"/>
      <w:r>
        <w:rPr>
          <w:rFonts w:ascii="Times New Roman" w:hAnsi="Times New Roman" w:eastAsia="黑体" w:cs="Times New Roman"/>
          <w:bCs/>
          <w:sz w:val="24"/>
          <w:szCs w:val="32"/>
        </w:rPr>
        <w:t>7.1成交候选人公示</w:t>
      </w:r>
      <w:bookmarkEnd w:id="35"/>
      <w:bookmarkEnd w:id="36"/>
    </w:p>
    <w:p w14:paraId="1848C37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采用公开询比方式采购的项目，公示期不得少于</w:t>
      </w:r>
      <w:r>
        <w:rPr>
          <w:rFonts w:hint="eastAsia" w:ascii="Times New Roman" w:hAnsi="Times New Roman" w:eastAsia="宋体" w:cs="Times New Roman"/>
          <w:szCs w:val="24"/>
          <w:lang w:val="en-US" w:eastAsia="zh-CN"/>
        </w:rPr>
        <w:t>3</w:t>
      </w:r>
      <w:r>
        <w:rPr>
          <w:rFonts w:ascii="Times New Roman" w:hAnsi="Times New Roman" w:eastAsia="宋体" w:cs="Times New Roman"/>
          <w:szCs w:val="24"/>
        </w:rPr>
        <w:t>日。</w:t>
      </w:r>
    </w:p>
    <w:p w14:paraId="521A81F3">
      <w:pPr>
        <w:keepNext/>
        <w:keepLines/>
        <w:spacing w:before="120" w:after="120"/>
        <w:outlineLvl w:val="2"/>
        <w:rPr>
          <w:rFonts w:ascii="Times New Roman" w:hAnsi="Times New Roman" w:eastAsia="黑体" w:cs="Times New Roman"/>
          <w:bCs/>
          <w:sz w:val="24"/>
          <w:szCs w:val="32"/>
        </w:rPr>
      </w:pPr>
      <w:bookmarkStart w:id="37" w:name="_Toc14201247"/>
      <w:bookmarkStart w:id="38" w:name="_Toc26656978"/>
      <w:r>
        <w:rPr>
          <w:rFonts w:ascii="Times New Roman" w:hAnsi="Times New Roman" w:eastAsia="黑体" w:cs="Times New Roman"/>
          <w:bCs/>
          <w:sz w:val="24"/>
          <w:szCs w:val="32"/>
        </w:rPr>
        <w:t>7.2评审结果异议</w:t>
      </w:r>
      <w:bookmarkEnd w:id="37"/>
      <w:bookmarkEnd w:id="38"/>
    </w:p>
    <w:p w14:paraId="3E93848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供应商或其他利害关系人对评审结果有异议的，应在成交候选人公示期间提出。</w:t>
      </w:r>
    </w:p>
    <w:p w14:paraId="49ADB2FF">
      <w:pPr>
        <w:keepNext/>
        <w:keepLines/>
        <w:spacing w:before="120" w:after="120"/>
        <w:outlineLvl w:val="2"/>
        <w:rPr>
          <w:rFonts w:ascii="Times New Roman" w:hAnsi="Times New Roman" w:eastAsia="黑体" w:cs="Times New Roman"/>
          <w:bCs/>
          <w:sz w:val="24"/>
          <w:szCs w:val="32"/>
        </w:rPr>
      </w:pPr>
      <w:bookmarkStart w:id="39" w:name="_Toc14201248"/>
      <w:bookmarkStart w:id="40" w:name="_Toc26656979"/>
      <w:r>
        <w:rPr>
          <w:rFonts w:ascii="Times New Roman" w:hAnsi="Times New Roman" w:eastAsia="黑体" w:cs="Times New Roman"/>
          <w:bCs/>
          <w:sz w:val="24"/>
          <w:szCs w:val="32"/>
        </w:rPr>
        <w:t>7.3成交候选人履约能力审查</w:t>
      </w:r>
      <w:bookmarkEnd w:id="39"/>
      <w:bookmarkEnd w:id="40"/>
    </w:p>
    <w:p w14:paraId="527FDEB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成交候选人的经营、财务状况发生较大变化或存在违法行为，采购人认为可能影响其履约能力的，将在发出成交通知书前提请原</w:t>
      </w:r>
      <w:r>
        <w:rPr>
          <w:rFonts w:hint="eastAsia" w:ascii="Times New Roman" w:hAnsi="Times New Roman" w:eastAsia="宋体" w:cs="Times New Roman"/>
          <w:szCs w:val="24"/>
        </w:rPr>
        <w:t>评审小组</w:t>
      </w:r>
      <w:r>
        <w:rPr>
          <w:rFonts w:ascii="Times New Roman" w:hAnsi="Times New Roman" w:eastAsia="宋体" w:cs="Times New Roman"/>
          <w:szCs w:val="24"/>
        </w:rPr>
        <w:t>按照询比文件规定的标准和方法进行审查确认。</w:t>
      </w:r>
    </w:p>
    <w:p w14:paraId="4277C66F">
      <w:pPr>
        <w:keepNext/>
        <w:keepLines/>
        <w:spacing w:before="120" w:after="120"/>
        <w:outlineLvl w:val="2"/>
        <w:rPr>
          <w:rFonts w:ascii="Times New Roman" w:hAnsi="Times New Roman" w:eastAsia="黑体" w:cs="Times New Roman"/>
          <w:bCs/>
          <w:sz w:val="24"/>
          <w:szCs w:val="32"/>
        </w:rPr>
      </w:pPr>
      <w:bookmarkStart w:id="41" w:name="_Toc14201253"/>
      <w:bookmarkStart w:id="42"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41"/>
      <w:bookmarkEnd w:id="42"/>
    </w:p>
    <w:p w14:paraId="2326804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eastAsia="宋体" w:cs="Times New Roman"/>
          <w:szCs w:val="24"/>
        </w:rPr>
        <w:t>变更</w:t>
      </w:r>
      <w:r>
        <w:rPr>
          <w:rFonts w:ascii="Times New Roman" w:hAnsi="Times New Roman" w:eastAsia="宋体" w:cs="Times New Roman"/>
          <w:szCs w:val="24"/>
        </w:rPr>
        <w:t>履约保证金的，采购人取消其成交资格，其响应保证金不予退还；给采购人造成的损失超过响应保证金数额的，成交人还应对超过部分予以赔偿。</w:t>
      </w:r>
    </w:p>
    <w:p w14:paraId="1D4B73AB">
      <w:pPr>
        <w:keepNext/>
        <w:keepLines/>
        <w:spacing w:before="156" w:beforeLines="50" w:after="156" w:afterLines="50"/>
        <w:outlineLvl w:val="1"/>
        <w:rPr>
          <w:rFonts w:ascii="Times New Roman" w:hAnsi="Times New Roman" w:eastAsia="黑体" w:cs="Times New Roman"/>
          <w:bCs/>
          <w:sz w:val="24"/>
          <w:szCs w:val="32"/>
        </w:rPr>
      </w:pPr>
      <w:bookmarkStart w:id="43" w:name="_Toc26656988"/>
      <w:bookmarkStart w:id="44" w:name="_Toc9067727"/>
      <w:bookmarkStart w:id="45" w:name="_Toc14201257"/>
      <w:r>
        <w:rPr>
          <w:rFonts w:ascii="Times New Roman" w:hAnsi="Times New Roman" w:eastAsia="黑体" w:cs="Times New Roman"/>
          <w:bCs/>
          <w:sz w:val="24"/>
          <w:szCs w:val="32"/>
        </w:rPr>
        <w:t>8. 纪律和监督</w:t>
      </w:r>
      <w:bookmarkEnd w:id="43"/>
      <w:bookmarkEnd w:id="44"/>
      <w:bookmarkEnd w:id="45"/>
    </w:p>
    <w:p w14:paraId="633AD16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供应商不得相互串通报价或与采购人串通报价，不得向采购人或</w:t>
      </w:r>
      <w:r>
        <w:rPr>
          <w:rFonts w:hint="eastAsia" w:ascii="Times New Roman" w:hAnsi="Times New Roman" w:eastAsia="宋体" w:cs="Times New Roman"/>
          <w:szCs w:val="24"/>
        </w:rPr>
        <w:t>评审小组</w:t>
      </w:r>
      <w:r>
        <w:rPr>
          <w:rFonts w:ascii="Times New Roman" w:hAnsi="Times New Roman" w:eastAsia="宋体" w:cs="Times New Roman"/>
          <w:szCs w:val="24"/>
        </w:rPr>
        <w:t>成员行贿谋取成交，不得以他人名义报价或以其他方式弄虚作假骗取成交；供应商不得以任何方式干扰、影响评审工作。</w:t>
      </w:r>
    </w:p>
    <w:p w14:paraId="5F0ED22B">
      <w:pPr>
        <w:keepNext/>
        <w:keepLines/>
        <w:spacing w:before="156" w:beforeLines="50" w:after="156" w:afterLines="50"/>
        <w:outlineLvl w:val="1"/>
        <w:rPr>
          <w:rFonts w:ascii="Times New Roman" w:hAnsi="Times New Roman" w:eastAsia="黑体" w:cs="Times New Roman"/>
          <w:bCs/>
          <w:sz w:val="24"/>
          <w:szCs w:val="32"/>
        </w:rPr>
      </w:pPr>
      <w:bookmarkStart w:id="46" w:name="_Toc14201262"/>
      <w:bookmarkStart w:id="47"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46"/>
      <w:bookmarkEnd w:id="47"/>
    </w:p>
    <w:p w14:paraId="6B02963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供应商或其他利害关系人认为询比活动不符合法律法规规定的，可以自知道或应当知道之日起10日内向有关监督部门投诉。投诉应有明确的请求和必要的证明材料。</w:t>
      </w:r>
    </w:p>
    <w:p w14:paraId="2960776C">
      <w:pPr>
        <w:keepNext/>
        <w:keepLines/>
        <w:spacing w:before="156" w:beforeLines="50" w:after="156" w:afterLines="50"/>
        <w:outlineLvl w:val="1"/>
        <w:rPr>
          <w:rFonts w:ascii="Times New Roman" w:hAnsi="Times New Roman" w:eastAsia="黑体" w:cs="Times New Roman"/>
          <w:bCs/>
          <w:sz w:val="24"/>
          <w:szCs w:val="32"/>
        </w:rPr>
      </w:pPr>
      <w:bookmarkStart w:id="48" w:name="_Toc26656994"/>
      <w:bookmarkStart w:id="49" w:name="_Toc14201263"/>
      <w:bookmarkStart w:id="50"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48"/>
      <w:bookmarkEnd w:id="49"/>
      <w:bookmarkEnd w:id="50"/>
    </w:p>
    <w:p w14:paraId="3AEDDF8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需要补充的其他内容：</w:t>
      </w:r>
      <w:r>
        <w:rPr>
          <w:rFonts w:hint="eastAsia" w:ascii="Times New Roman" w:hAnsi="Times New Roman" w:eastAsia="宋体" w:cs="Times New Roman"/>
          <w:szCs w:val="24"/>
        </w:rPr>
        <w:t>_____________________。</w:t>
      </w:r>
    </w:p>
    <w:p w14:paraId="19F33D6B">
      <w:pPr>
        <w:spacing w:line="360" w:lineRule="auto"/>
        <w:ind w:firstLine="482"/>
        <w:rPr>
          <w:rFonts w:ascii="宋体" w:hAnsi="宋体" w:eastAsia="宋体"/>
          <w:color w:val="auto"/>
          <w:sz w:val="24"/>
          <w:szCs w:val="18"/>
        </w:rPr>
      </w:pPr>
    </w:p>
    <w:p w14:paraId="3FE4E4EC">
      <w:pPr>
        <w:widowControl/>
        <w:jc w:val="left"/>
        <w:rPr>
          <w:rFonts w:asciiTheme="minorEastAsia" w:hAnsiTheme="minorEastAsia" w:eastAsiaTheme="minorEastAsia"/>
          <w:b/>
          <w:color w:val="auto"/>
          <w:sz w:val="28"/>
        </w:rPr>
      </w:pPr>
      <w:r>
        <w:rPr>
          <w:rFonts w:asciiTheme="minorEastAsia" w:hAnsiTheme="minorEastAsia" w:eastAsiaTheme="minorEastAsia"/>
          <w:b/>
          <w:color w:val="auto"/>
          <w:sz w:val="28"/>
        </w:rPr>
        <w:br w:type="page"/>
      </w:r>
    </w:p>
    <w:p w14:paraId="00CB0469">
      <w:pPr>
        <w:spacing w:line="360" w:lineRule="auto"/>
        <w:ind w:firstLine="562"/>
        <w:jc w:val="center"/>
        <w:outlineLvl w:val="0"/>
        <w:rPr>
          <w:rFonts w:asciiTheme="minorEastAsia" w:hAnsiTheme="minorEastAsia" w:eastAsiaTheme="minorEastAsia"/>
          <w:b/>
          <w:color w:val="auto"/>
          <w:sz w:val="28"/>
        </w:rPr>
      </w:pPr>
      <w:bookmarkStart w:id="51" w:name="_Toc10891"/>
      <w:r>
        <w:rPr>
          <w:rFonts w:hint="eastAsia" w:asciiTheme="minorEastAsia" w:hAnsiTheme="minorEastAsia" w:eastAsiaTheme="minorEastAsia"/>
          <w:b/>
          <w:color w:val="auto"/>
          <w:sz w:val="28"/>
        </w:rPr>
        <w:t>第三章  采购需求</w:t>
      </w:r>
      <w:bookmarkEnd w:id="51"/>
    </w:p>
    <w:p w14:paraId="6742CB70">
      <w:pPr>
        <w:spacing w:line="360" w:lineRule="auto"/>
        <w:ind w:firstLine="482"/>
        <w:outlineLvl w:val="1"/>
        <w:rPr>
          <w:rFonts w:ascii="宋体" w:hAnsi="宋体" w:eastAsia="宋体"/>
          <w:b/>
          <w:color w:val="auto"/>
          <w:sz w:val="24"/>
          <w:szCs w:val="18"/>
        </w:rPr>
      </w:pPr>
      <w:bookmarkStart w:id="52" w:name="_Toc32151"/>
      <w:bookmarkStart w:id="53" w:name="_Toc2554"/>
      <w:r>
        <w:rPr>
          <w:rFonts w:hint="eastAsia" w:ascii="宋体" w:hAnsi="宋体" w:eastAsia="宋体"/>
          <w:b/>
          <w:color w:val="auto"/>
          <w:sz w:val="24"/>
          <w:szCs w:val="18"/>
        </w:rPr>
        <w:t>一、采购需求前附表</w:t>
      </w:r>
      <w:bookmarkEnd w:id="52"/>
      <w:bookmarkEnd w:id="53"/>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2350"/>
        <w:gridCol w:w="6341"/>
      </w:tblGrid>
      <w:tr w14:paraId="749C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A9EEEB0">
            <w:pPr>
              <w:pStyle w:val="44"/>
              <w:rPr>
                <w:color w:val="auto"/>
              </w:rPr>
            </w:pPr>
            <w:r>
              <w:rPr>
                <w:rFonts w:hint="eastAsia"/>
                <w:color w:val="auto"/>
              </w:rPr>
              <w:t>序号</w:t>
            </w:r>
          </w:p>
        </w:tc>
        <w:tc>
          <w:tcPr>
            <w:tcW w:w="1192" w:type="pct"/>
            <w:vAlign w:val="center"/>
          </w:tcPr>
          <w:p w14:paraId="430039E6">
            <w:pPr>
              <w:pStyle w:val="43"/>
              <w:rPr>
                <w:color w:val="auto"/>
              </w:rPr>
            </w:pPr>
            <w:r>
              <w:rPr>
                <w:rFonts w:hint="eastAsia"/>
                <w:color w:val="auto"/>
              </w:rPr>
              <w:t>条款名称</w:t>
            </w:r>
          </w:p>
        </w:tc>
        <w:tc>
          <w:tcPr>
            <w:tcW w:w="3217" w:type="pct"/>
            <w:vAlign w:val="center"/>
          </w:tcPr>
          <w:p w14:paraId="0DEB9A1D">
            <w:pPr>
              <w:pStyle w:val="43"/>
              <w:rPr>
                <w:color w:val="auto"/>
              </w:rPr>
            </w:pPr>
            <w:r>
              <w:rPr>
                <w:rFonts w:hint="eastAsia"/>
                <w:color w:val="auto"/>
              </w:rPr>
              <w:t>内容、说明与要求</w:t>
            </w:r>
          </w:p>
        </w:tc>
      </w:tr>
      <w:tr w14:paraId="27DD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5301E168">
            <w:pPr>
              <w:pStyle w:val="44"/>
              <w:rPr>
                <w:color w:val="auto"/>
              </w:rPr>
            </w:pPr>
            <w:r>
              <w:rPr>
                <w:rFonts w:hint="eastAsia"/>
                <w:color w:val="auto"/>
              </w:rPr>
              <w:t>1</w:t>
            </w:r>
          </w:p>
        </w:tc>
        <w:tc>
          <w:tcPr>
            <w:tcW w:w="1192" w:type="pct"/>
            <w:vAlign w:val="center"/>
          </w:tcPr>
          <w:p w14:paraId="637D4E92">
            <w:pPr>
              <w:pStyle w:val="43"/>
              <w:rPr>
                <w:color w:val="auto"/>
              </w:rPr>
            </w:pPr>
            <w:r>
              <w:rPr>
                <w:rFonts w:hint="eastAsia"/>
                <w:color w:val="auto"/>
              </w:rPr>
              <w:t>付款方式</w:t>
            </w:r>
          </w:p>
        </w:tc>
        <w:tc>
          <w:tcPr>
            <w:tcW w:w="3217" w:type="pct"/>
            <w:vAlign w:val="center"/>
          </w:tcPr>
          <w:p w14:paraId="7D8347D0">
            <w:pPr>
              <w:pStyle w:val="43"/>
              <w:rPr>
                <w:color w:val="auto"/>
              </w:rPr>
            </w:pPr>
            <w:r>
              <w:rPr>
                <w:rFonts w:hint="eastAsia"/>
                <w:color w:val="auto"/>
              </w:rPr>
              <w:t>本次换装全套动力电池以及电池仓、高压仓灭火器四只的工程分批次进行（在不影响采购方班次正常运行的情况下商议进行），双方签订合同后7日内支付总货款的10%作为预付款，收到新全套动力动力电池并更换安装测试正常后10天内支付总货款的60%，更换动力电池后一年内支付总货款30%（国家财政补贴款到后即支付），履约保证金即质量保证金人民币10万元在质保期满无息支付。</w:t>
            </w:r>
          </w:p>
        </w:tc>
      </w:tr>
      <w:tr w14:paraId="0B2CE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5E23D972">
            <w:pPr>
              <w:pStyle w:val="44"/>
              <w:rPr>
                <w:color w:val="auto"/>
              </w:rPr>
            </w:pPr>
            <w:r>
              <w:rPr>
                <w:rFonts w:hint="eastAsia"/>
                <w:color w:val="auto"/>
              </w:rPr>
              <w:t>2</w:t>
            </w:r>
          </w:p>
        </w:tc>
        <w:tc>
          <w:tcPr>
            <w:tcW w:w="1192" w:type="pct"/>
            <w:vAlign w:val="center"/>
          </w:tcPr>
          <w:p w14:paraId="2A4D76FD">
            <w:pPr>
              <w:pStyle w:val="43"/>
              <w:rPr>
                <w:color w:val="auto"/>
              </w:rPr>
            </w:pPr>
            <w:r>
              <w:rPr>
                <w:rFonts w:hint="eastAsia"/>
                <w:color w:val="auto"/>
              </w:rPr>
              <w:t>供货及安装地点</w:t>
            </w:r>
          </w:p>
        </w:tc>
        <w:tc>
          <w:tcPr>
            <w:tcW w:w="3217" w:type="pct"/>
            <w:vAlign w:val="center"/>
          </w:tcPr>
          <w:p w14:paraId="0A8F946F">
            <w:pPr>
              <w:pStyle w:val="43"/>
              <w:rPr>
                <w:color w:val="auto"/>
              </w:rPr>
            </w:pPr>
            <w:r>
              <w:rPr>
                <w:color w:val="auto"/>
              </w:rPr>
              <w:t>以采购人要求为准</w:t>
            </w:r>
          </w:p>
        </w:tc>
      </w:tr>
      <w:tr w14:paraId="3F1F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65FC0E2">
            <w:pPr>
              <w:pStyle w:val="44"/>
              <w:rPr>
                <w:color w:val="auto"/>
              </w:rPr>
            </w:pPr>
            <w:r>
              <w:rPr>
                <w:rFonts w:hint="eastAsia"/>
                <w:color w:val="auto"/>
              </w:rPr>
              <w:t>3</w:t>
            </w:r>
          </w:p>
        </w:tc>
        <w:tc>
          <w:tcPr>
            <w:tcW w:w="1192" w:type="pct"/>
            <w:vAlign w:val="center"/>
          </w:tcPr>
          <w:p w14:paraId="4FDC595F">
            <w:pPr>
              <w:pStyle w:val="43"/>
              <w:rPr>
                <w:color w:val="auto"/>
              </w:rPr>
            </w:pPr>
            <w:r>
              <w:rPr>
                <w:rFonts w:hint="eastAsia"/>
                <w:color w:val="auto"/>
              </w:rPr>
              <w:t>供货及安装期限</w:t>
            </w:r>
          </w:p>
        </w:tc>
        <w:tc>
          <w:tcPr>
            <w:tcW w:w="3217" w:type="pct"/>
            <w:vAlign w:val="center"/>
          </w:tcPr>
          <w:p w14:paraId="33BD8E0A">
            <w:pPr>
              <w:pStyle w:val="43"/>
              <w:rPr>
                <w:color w:val="auto"/>
              </w:rPr>
            </w:pPr>
            <w:r>
              <w:rPr>
                <w:rFonts w:hint="eastAsia"/>
                <w:color w:val="auto"/>
              </w:rPr>
              <w:t>本次15台宇通油电混动新能源公交车更换动力电池投标人应到现场勘察车辆情况，充分了解车辆实际情况，因投标人了解不充分而产生的一切责任及采购方的一切损失均由投标人承担，双方签订合同开始供货期加安装测试第一台车30个日历天完成，其它14台车更换全套动力电池应在25个日历天完成试车并交付。</w:t>
            </w:r>
          </w:p>
        </w:tc>
      </w:tr>
      <w:tr w14:paraId="677C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D8AFCE1">
            <w:pPr>
              <w:pStyle w:val="44"/>
              <w:rPr>
                <w:color w:val="auto"/>
              </w:rPr>
            </w:pPr>
            <w:r>
              <w:rPr>
                <w:rFonts w:hint="eastAsia"/>
                <w:color w:val="auto"/>
              </w:rPr>
              <w:t>4</w:t>
            </w:r>
          </w:p>
        </w:tc>
        <w:tc>
          <w:tcPr>
            <w:tcW w:w="1192" w:type="pct"/>
            <w:vAlign w:val="center"/>
          </w:tcPr>
          <w:p w14:paraId="012C6A0E">
            <w:pPr>
              <w:pStyle w:val="43"/>
              <w:rPr>
                <w:color w:val="auto"/>
              </w:rPr>
            </w:pPr>
            <w:r>
              <w:rPr>
                <w:rFonts w:hint="eastAsia"/>
                <w:color w:val="auto"/>
              </w:rPr>
              <w:t>质保期</w:t>
            </w:r>
          </w:p>
        </w:tc>
        <w:tc>
          <w:tcPr>
            <w:tcW w:w="3217" w:type="pct"/>
            <w:vAlign w:val="center"/>
          </w:tcPr>
          <w:p w14:paraId="16AD8AFB">
            <w:pPr>
              <w:widowControl/>
              <w:ind w:firstLine="240" w:firstLineChars="100"/>
              <w:jc w:val="left"/>
              <w:rPr>
                <w:rFonts w:ascii="宋体" w:hAnsi="宋体" w:eastAsia="宋体"/>
                <w:bCs/>
                <w:color w:val="auto"/>
                <w:kern w:val="0"/>
                <w:sz w:val="24"/>
                <w:szCs w:val="28"/>
              </w:rPr>
            </w:pPr>
            <w:r>
              <w:rPr>
                <w:rFonts w:hint="eastAsia" w:ascii="宋体" w:hAnsi="宋体" w:eastAsia="宋体"/>
                <w:bCs/>
                <w:color w:val="auto"/>
                <w:kern w:val="0"/>
                <w:sz w:val="24"/>
                <w:szCs w:val="28"/>
              </w:rPr>
              <w:t>质保期不少于5年或20万公里，质保期内电池容量不低于总容量的80%。更新的动力电池工作温度、电压一致性要求、SOC值等应符合车辆安全运行所需要求，货物需求表中如有特殊要求的，以货物需求表为准。</w:t>
            </w:r>
          </w:p>
        </w:tc>
      </w:tr>
    </w:tbl>
    <w:p w14:paraId="335A7A0F">
      <w:pPr>
        <w:spacing w:line="360" w:lineRule="auto"/>
        <w:ind w:firstLine="482"/>
        <w:outlineLvl w:val="1"/>
        <w:rPr>
          <w:rFonts w:ascii="宋体" w:hAnsi="宋体" w:eastAsia="宋体"/>
          <w:b/>
          <w:bCs/>
          <w:color w:val="auto"/>
          <w:sz w:val="24"/>
          <w:szCs w:val="18"/>
        </w:rPr>
      </w:pPr>
      <w:bookmarkStart w:id="54" w:name="_Toc5944"/>
      <w:bookmarkStart w:id="55" w:name="_Toc7671"/>
    </w:p>
    <w:p w14:paraId="5771E7AD">
      <w:pPr>
        <w:numPr>
          <w:ilvl w:val="0"/>
          <w:numId w:val="3"/>
        </w:numPr>
        <w:spacing w:line="360" w:lineRule="auto"/>
        <w:ind w:firstLine="482"/>
        <w:outlineLvl w:val="1"/>
        <w:rPr>
          <w:rFonts w:ascii="宋体" w:hAnsi="宋体" w:eastAsia="宋体"/>
          <w:b/>
          <w:bCs/>
          <w:color w:val="auto"/>
          <w:sz w:val="24"/>
          <w:szCs w:val="18"/>
        </w:rPr>
      </w:pPr>
      <w:r>
        <w:rPr>
          <w:rFonts w:hint="eastAsia" w:ascii="宋体" w:hAnsi="宋体" w:eastAsia="宋体"/>
          <w:b/>
          <w:color w:val="auto"/>
          <w:sz w:val="24"/>
          <w:szCs w:val="18"/>
        </w:rPr>
        <w:t>货物</w:t>
      </w:r>
      <w:r>
        <w:rPr>
          <w:rFonts w:hint="eastAsia" w:ascii="宋体" w:hAnsi="宋体" w:eastAsia="宋体"/>
          <w:b/>
          <w:bCs/>
          <w:color w:val="auto"/>
          <w:sz w:val="24"/>
          <w:szCs w:val="18"/>
        </w:rPr>
        <w:t>需求</w:t>
      </w:r>
      <w:bookmarkEnd w:id="54"/>
      <w:bookmarkEnd w:id="55"/>
      <w:r>
        <w:rPr>
          <w:rFonts w:hint="eastAsia" w:asciiTheme="minorEastAsia" w:hAnsiTheme="minorEastAsia" w:eastAsiaTheme="minorEastAsia" w:cstheme="minorEastAsia"/>
          <w:b/>
          <w:bCs/>
          <w:color w:val="auto"/>
          <w:sz w:val="24"/>
          <w:szCs w:val="24"/>
        </w:rPr>
        <w:t>及技术参数要求</w:t>
      </w:r>
    </w:p>
    <w:p w14:paraId="1F52E8B8">
      <w:pPr>
        <w:pStyle w:val="10"/>
        <w:ind w:firstLine="240"/>
        <w:rPr>
          <w:color w:val="auto"/>
        </w:rPr>
      </w:pPr>
      <w:r>
        <w:rPr>
          <w:rFonts w:hint="eastAsia"/>
          <w:color w:val="auto"/>
        </w:rPr>
        <w:t>（一）货物需求</w:t>
      </w:r>
    </w:p>
    <w:tbl>
      <w:tblPr>
        <w:tblStyle w:val="25"/>
        <w:tblpPr w:leftFromText="180" w:rightFromText="180" w:vertAnchor="text" w:horzAnchor="page" w:tblpX="1065" w:tblpY="1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2849"/>
        <w:gridCol w:w="3596"/>
        <w:gridCol w:w="1513"/>
      </w:tblGrid>
      <w:tr w14:paraId="543B0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7" w:type="pct"/>
            <w:vAlign w:val="center"/>
          </w:tcPr>
          <w:p w14:paraId="1AC1A40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车型</w:t>
            </w:r>
          </w:p>
        </w:tc>
        <w:tc>
          <w:tcPr>
            <w:tcW w:w="1463" w:type="pct"/>
            <w:vAlign w:val="center"/>
          </w:tcPr>
          <w:p w14:paraId="3146070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换装全套动力电池箱总成</w:t>
            </w:r>
          </w:p>
        </w:tc>
        <w:tc>
          <w:tcPr>
            <w:tcW w:w="1842" w:type="pct"/>
            <w:vAlign w:val="center"/>
          </w:tcPr>
          <w:p w14:paraId="62EA3FF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合同履行期限</w:t>
            </w:r>
          </w:p>
        </w:tc>
        <w:tc>
          <w:tcPr>
            <w:tcW w:w="785" w:type="pct"/>
            <w:vAlign w:val="center"/>
          </w:tcPr>
          <w:p w14:paraId="75C30B1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换装车辆数（辆）</w:t>
            </w:r>
          </w:p>
        </w:tc>
      </w:tr>
      <w:tr w14:paraId="68AF7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7" w:type="pct"/>
            <w:vAlign w:val="center"/>
          </w:tcPr>
          <w:p w14:paraId="1F184AAA">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宇通ZK6105CHEVPG21</w:t>
            </w:r>
          </w:p>
        </w:tc>
        <w:tc>
          <w:tcPr>
            <w:tcW w:w="1463" w:type="pct"/>
            <w:vAlign w:val="center"/>
          </w:tcPr>
          <w:p w14:paraId="7BA85BA3">
            <w:pPr>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锰酸锂全套动力电池</w:t>
            </w:r>
          </w:p>
          <w:p w14:paraId="7A58ABB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（含电池均衡管理系统、各连接高低压线束、高压箱、集线盒、BMS、全新电池pack、各紧固件、电池箱配件及其它施工辅料）以及电池仓、高压仓灭火器四只</w:t>
            </w:r>
          </w:p>
        </w:tc>
        <w:tc>
          <w:tcPr>
            <w:tcW w:w="1842" w:type="pct"/>
            <w:vAlign w:val="center"/>
          </w:tcPr>
          <w:p w14:paraId="4785CAF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15台宇通车全套动力电池以及电池仓、高压仓灭火器换装工程在不影响采购方班次正常运行的情况下分为批次实施，合同签订首付款后30个日历天内投标人完成供货并安装、调试第一台车试车验收。其它14台车更换全套动力电池工程期应在25个日历天内完成试车并验收。</w:t>
            </w:r>
          </w:p>
        </w:tc>
        <w:tc>
          <w:tcPr>
            <w:tcW w:w="785" w:type="pct"/>
            <w:vAlign w:val="center"/>
          </w:tcPr>
          <w:p w14:paraId="79E7343E">
            <w:pPr>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w:t>
            </w:r>
          </w:p>
        </w:tc>
      </w:tr>
    </w:tbl>
    <w:p w14:paraId="1B93C5B6">
      <w:pPr>
        <w:pStyle w:val="10"/>
        <w:ind w:firstLine="240"/>
        <w:rPr>
          <w:color w:val="auto"/>
        </w:rPr>
      </w:pPr>
    </w:p>
    <w:p w14:paraId="17F76888">
      <w:pPr>
        <w:pStyle w:val="10"/>
        <w:ind w:firstLine="240"/>
        <w:rPr>
          <w:color w:val="auto"/>
        </w:rPr>
      </w:pPr>
      <w:r>
        <w:rPr>
          <w:rFonts w:hint="eastAsia"/>
          <w:color w:val="auto"/>
        </w:rPr>
        <w:t>（二）技术要求</w:t>
      </w:r>
    </w:p>
    <w:tbl>
      <w:tblPr>
        <w:tblStyle w:val="25"/>
        <w:tblW w:w="0" w:type="auto"/>
        <w:tblInd w:w="0" w:type="dxa"/>
        <w:tblLayout w:type="autofit"/>
        <w:tblCellMar>
          <w:top w:w="0" w:type="dxa"/>
          <w:left w:w="108" w:type="dxa"/>
          <w:bottom w:w="0" w:type="dxa"/>
          <w:right w:w="108" w:type="dxa"/>
        </w:tblCellMar>
      </w:tblPr>
      <w:tblGrid>
        <w:gridCol w:w="495"/>
        <w:gridCol w:w="1956"/>
        <w:gridCol w:w="4905"/>
        <w:gridCol w:w="2498"/>
      </w:tblGrid>
      <w:tr w14:paraId="4807B8F7">
        <w:tblPrEx>
          <w:tblCellMar>
            <w:top w:w="0" w:type="dxa"/>
            <w:left w:w="108" w:type="dxa"/>
            <w:bottom w:w="0" w:type="dxa"/>
            <w:right w:w="108" w:type="dxa"/>
          </w:tblCellMar>
        </w:tblPrEx>
        <w:trPr>
          <w:trHeight w:val="20" w:hRule="atLeast"/>
        </w:trPr>
        <w:tc>
          <w:tcPr>
            <w:tcW w:w="0" w:type="auto"/>
            <w:tcBorders>
              <w:top w:val="single" w:color="000000" w:sz="8" w:space="0"/>
              <w:left w:val="single" w:color="000000" w:sz="8" w:space="0"/>
              <w:bottom w:val="single" w:color="000000" w:sz="8" w:space="0"/>
              <w:right w:val="single" w:color="000000" w:sz="8" w:space="0"/>
            </w:tcBorders>
            <w:shd w:val="clear" w:color="000000" w:fill="D9D9D9"/>
            <w:vAlign w:val="center"/>
          </w:tcPr>
          <w:p w14:paraId="2E07F5B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1956" w:type="dxa"/>
            <w:tcBorders>
              <w:top w:val="single" w:color="000000" w:sz="8" w:space="0"/>
              <w:left w:val="nil"/>
              <w:bottom w:val="single" w:color="000000" w:sz="8" w:space="0"/>
              <w:right w:val="single" w:color="000000" w:sz="8" w:space="0"/>
            </w:tcBorders>
            <w:shd w:val="clear" w:color="000000" w:fill="D9D9D9"/>
            <w:vAlign w:val="center"/>
          </w:tcPr>
          <w:p w14:paraId="21E786F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项目名称</w:t>
            </w:r>
          </w:p>
        </w:tc>
        <w:tc>
          <w:tcPr>
            <w:tcW w:w="4905" w:type="dxa"/>
            <w:tcBorders>
              <w:top w:val="single" w:color="000000" w:sz="8" w:space="0"/>
              <w:left w:val="nil"/>
              <w:bottom w:val="single" w:color="000000" w:sz="8" w:space="0"/>
              <w:right w:val="single" w:color="000000" w:sz="8" w:space="0"/>
            </w:tcBorders>
            <w:shd w:val="clear" w:color="000000" w:fill="D9D9D9"/>
            <w:vAlign w:val="center"/>
          </w:tcPr>
          <w:p w14:paraId="6E11A02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技术要求</w:t>
            </w:r>
          </w:p>
        </w:tc>
        <w:tc>
          <w:tcPr>
            <w:tcW w:w="0" w:type="auto"/>
            <w:tcBorders>
              <w:top w:val="single" w:color="000000" w:sz="8" w:space="0"/>
              <w:left w:val="nil"/>
              <w:bottom w:val="single" w:color="000000" w:sz="8" w:space="0"/>
              <w:right w:val="single" w:color="000000" w:sz="8" w:space="0"/>
            </w:tcBorders>
            <w:shd w:val="clear" w:color="000000" w:fill="D9D9D9"/>
            <w:vAlign w:val="center"/>
          </w:tcPr>
          <w:p w14:paraId="5A1E3AB1">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5E3FACAC">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4F340DE4">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956" w:type="dxa"/>
            <w:tcBorders>
              <w:top w:val="nil"/>
              <w:left w:val="nil"/>
              <w:bottom w:val="single" w:color="000000" w:sz="8" w:space="0"/>
              <w:right w:val="single" w:color="000000" w:sz="8" w:space="0"/>
            </w:tcBorders>
            <w:shd w:val="clear" w:color="auto" w:fill="auto"/>
            <w:vAlign w:val="center"/>
          </w:tcPr>
          <w:p w14:paraId="4FB5129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★电池要求</w:t>
            </w:r>
          </w:p>
        </w:tc>
        <w:tc>
          <w:tcPr>
            <w:tcW w:w="4905" w:type="dxa"/>
            <w:tcBorders>
              <w:top w:val="nil"/>
              <w:left w:val="nil"/>
              <w:bottom w:val="single" w:color="000000" w:sz="8" w:space="0"/>
              <w:right w:val="single" w:color="000000" w:sz="8" w:space="0"/>
            </w:tcBorders>
            <w:shd w:val="clear" w:color="auto" w:fill="auto"/>
            <w:vAlign w:val="center"/>
          </w:tcPr>
          <w:p w14:paraId="552D168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锰酸锂全套动力电池包（箱）总成，A级动力电池且在2024年1月1日后生产的产品</w:t>
            </w:r>
          </w:p>
        </w:tc>
        <w:tc>
          <w:tcPr>
            <w:tcW w:w="0" w:type="auto"/>
            <w:tcBorders>
              <w:top w:val="nil"/>
              <w:left w:val="nil"/>
              <w:bottom w:val="single" w:color="000000" w:sz="8" w:space="0"/>
              <w:right w:val="single" w:color="000000" w:sz="8" w:space="0"/>
            </w:tcBorders>
            <w:shd w:val="clear" w:color="auto" w:fill="auto"/>
            <w:vAlign w:val="center"/>
          </w:tcPr>
          <w:p w14:paraId="61ED9AD5">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须提供电池厂家证明材料</w:t>
            </w:r>
          </w:p>
          <w:p w14:paraId="34B95224">
            <w:pPr>
              <w:rPr>
                <w:rFonts w:asciiTheme="minorEastAsia" w:hAnsiTheme="minorEastAsia" w:eastAsiaTheme="minorEastAsia" w:cstheme="minorEastAsia"/>
                <w:color w:val="auto"/>
                <w:sz w:val="24"/>
                <w:szCs w:val="24"/>
              </w:rPr>
            </w:pPr>
          </w:p>
        </w:tc>
      </w:tr>
      <w:tr w14:paraId="5D4FE641">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733214F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956" w:type="dxa"/>
            <w:tcBorders>
              <w:top w:val="nil"/>
              <w:left w:val="nil"/>
              <w:bottom w:val="single" w:color="000000" w:sz="8" w:space="0"/>
              <w:right w:val="single" w:color="000000" w:sz="8" w:space="0"/>
            </w:tcBorders>
            <w:shd w:val="clear" w:color="auto" w:fill="auto"/>
            <w:vAlign w:val="center"/>
          </w:tcPr>
          <w:p w14:paraId="224745E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★额定存储能量</w:t>
            </w:r>
          </w:p>
        </w:tc>
        <w:tc>
          <w:tcPr>
            <w:tcW w:w="4905" w:type="dxa"/>
            <w:tcBorders>
              <w:top w:val="nil"/>
              <w:left w:val="nil"/>
              <w:bottom w:val="single" w:color="000000" w:sz="8" w:space="0"/>
              <w:right w:val="single" w:color="000000" w:sz="8" w:space="0"/>
            </w:tcBorders>
            <w:shd w:val="clear" w:color="auto" w:fill="auto"/>
            <w:vAlign w:val="center"/>
          </w:tcPr>
          <w:p w14:paraId="646B95E6">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≥25.53kWh</w:t>
            </w:r>
          </w:p>
        </w:tc>
        <w:tc>
          <w:tcPr>
            <w:tcW w:w="0" w:type="auto"/>
            <w:tcBorders>
              <w:top w:val="nil"/>
              <w:left w:val="nil"/>
              <w:bottom w:val="single" w:color="000000" w:sz="8" w:space="0"/>
              <w:right w:val="single" w:color="000000" w:sz="8" w:space="0"/>
            </w:tcBorders>
            <w:shd w:val="clear" w:color="auto" w:fill="auto"/>
            <w:vAlign w:val="center"/>
          </w:tcPr>
          <w:p w14:paraId="23BCF85E">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须提供电池铭牌证明</w:t>
            </w:r>
          </w:p>
        </w:tc>
      </w:tr>
      <w:tr w14:paraId="123E2C65">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592AADE9">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956" w:type="dxa"/>
            <w:tcBorders>
              <w:top w:val="nil"/>
              <w:left w:val="nil"/>
              <w:bottom w:val="single" w:color="000000" w:sz="8" w:space="0"/>
              <w:right w:val="single" w:color="000000" w:sz="8" w:space="0"/>
            </w:tcBorders>
            <w:shd w:val="clear" w:color="auto" w:fill="auto"/>
            <w:vAlign w:val="center"/>
          </w:tcPr>
          <w:p w14:paraId="0C2A89A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电池系统能量密度</w:t>
            </w:r>
          </w:p>
        </w:tc>
        <w:tc>
          <w:tcPr>
            <w:tcW w:w="4905" w:type="dxa"/>
            <w:tcBorders>
              <w:top w:val="nil"/>
              <w:left w:val="nil"/>
              <w:bottom w:val="single" w:color="000000" w:sz="8" w:space="0"/>
              <w:right w:val="single" w:color="000000" w:sz="8" w:space="0"/>
            </w:tcBorders>
            <w:shd w:val="clear" w:color="auto" w:fill="auto"/>
            <w:vAlign w:val="center"/>
          </w:tcPr>
          <w:p w14:paraId="090DB67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≥135Wh/kg</w:t>
            </w:r>
          </w:p>
        </w:tc>
        <w:tc>
          <w:tcPr>
            <w:tcW w:w="0" w:type="auto"/>
            <w:tcBorders>
              <w:top w:val="nil"/>
              <w:left w:val="nil"/>
              <w:bottom w:val="single" w:color="000000" w:sz="8" w:space="0"/>
              <w:right w:val="single" w:color="000000" w:sz="8" w:space="0"/>
            </w:tcBorders>
            <w:shd w:val="clear" w:color="auto" w:fill="auto"/>
            <w:vAlign w:val="center"/>
          </w:tcPr>
          <w:p w14:paraId="3A21198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提供技术资料证明</w:t>
            </w:r>
          </w:p>
        </w:tc>
      </w:tr>
      <w:tr w14:paraId="36AB53F0">
        <w:tblPrEx>
          <w:tblCellMar>
            <w:top w:w="0" w:type="dxa"/>
            <w:left w:w="108" w:type="dxa"/>
            <w:bottom w:w="0" w:type="dxa"/>
            <w:right w:w="108" w:type="dxa"/>
          </w:tblCellMar>
        </w:tblPrEx>
        <w:trPr>
          <w:trHeight w:val="2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9711926">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1956" w:type="dxa"/>
            <w:tcBorders>
              <w:top w:val="nil"/>
              <w:left w:val="nil"/>
              <w:bottom w:val="single" w:color="000000" w:sz="8" w:space="0"/>
              <w:right w:val="single" w:color="000000" w:sz="8" w:space="0"/>
            </w:tcBorders>
            <w:shd w:val="clear" w:color="auto" w:fill="auto"/>
            <w:vAlign w:val="center"/>
          </w:tcPr>
          <w:p w14:paraId="010AA6F0">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箱体数量</w:t>
            </w:r>
          </w:p>
        </w:tc>
        <w:tc>
          <w:tcPr>
            <w:tcW w:w="4905" w:type="dxa"/>
            <w:tcBorders>
              <w:top w:val="nil"/>
              <w:left w:val="nil"/>
              <w:bottom w:val="single" w:color="000000" w:sz="8" w:space="0"/>
              <w:right w:val="single" w:color="000000" w:sz="8" w:space="0"/>
            </w:tcBorders>
            <w:shd w:val="clear" w:color="auto" w:fill="auto"/>
            <w:vAlign w:val="center"/>
          </w:tcPr>
          <w:p w14:paraId="00A5DAC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﹦2箱138S</w:t>
            </w:r>
          </w:p>
        </w:tc>
        <w:tc>
          <w:tcPr>
            <w:tcW w:w="0" w:type="auto"/>
            <w:tcBorders>
              <w:top w:val="nil"/>
              <w:left w:val="nil"/>
              <w:bottom w:val="single" w:color="000000" w:sz="8" w:space="0"/>
              <w:right w:val="single" w:color="000000" w:sz="8" w:space="0"/>
            </w:tcBorders>
            <w:shd w:val="clear" w:color="auto" w:fill="auto"/>
            <w:vAlign w:val="center"/>
          </w:tcPr>
          <w:p w14:paraId="0535244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060416F2">
        <w:tblPrEx>
          <w:tblCellMar>
            <w:top w:w="0" w:type="dxa"/>
            <w:left w:w="108" w:type="dxa"/>
            <w:bottom w:w="0" w:type="dxa"/>
            <w:right w:w="108" w:type="dxa"/>
          </w:tblCellMar>
        </w:tblPrEx>
        <w:trPr>
          <w:trHeight w:val="20" w:hRule="atLeast"/>
        </w:trPr>
        <w:tc>
          <w:tcPr>
            <w:tcW w:w="0" w:type="auto"/>
            <w:tcBorders>
              <w:top w:val="nil"/>
              <w:left w:val="single" w:color="000000" w:sz="8" w:space="0"/>
              <w:bottom w:val="single" w:color="auto" w:sz="8" w:space="0"/>
              <w:right w:val="single" w:color="000000" w:sz="8" w:space="0"/>
            </w:tcBorders>
            <w:shd w:val="clear" w:color="auto" w:fill="auto"/>
            <w:vAlign w:val="center"/>
          </w:tcPr>
          <w:p w14:paraId="028A4CE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1956" w:type="dxa"/>
            <w:tcBorders>
              <w:top w:val="nil"/>
              <w:left w:val="nil"/>
              <w:bottom w:val="single" w:color="auto" w:sz="8" w:space="0"/>
              <w:right w:val="single" w:color="000000" w:sz="8" w:space="0"/>
            </w:tcBorders>
            <w:shd w:val="clear" w:color="auto" w:fill="auto"/>
            <w:vAlign w:val="center"/>
          </w:tcPr>
          <w:p w14:paraId="7D170EA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充放电要求</w:t>
            </w:r>
          </w:p>
        </w:tc>
        <w:tc>
          <w:tcPr>
            <w:tcW w:w="4905" w:type="dxa"/>
            <w:tcBorders>
              <w:top w:val="nil"/>
              <w:left w:val="nil"/>
              <w:bottom w:val="single" w:color="auto" w:sz="8" w:space="0"/>
              <w:right w:val="single" w:color="000000" w:sz="8" w:space="0"/>
            </w:tcBorders>
            <w:shd w:val="clear" w:color="auto" w:fill="auto"/>
            <w:vAlign w:val="center"/>
          </w:tcPr>
          <w:p w14:paraId="280FE34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符合设计要求</w:t>
            </w:r>
          </w:p>
        </w:tc>
        <w:tc>
          <w:tcPr>
            <w:tcW w:w="0" w:type="auto"/>
            <w:tcBorders>
              <w:top w:val="nil"/>
              <w:left w:val="nil"/>
              <w:bottom w:val="single" w:color="auto" w:sz="8" w:space="0"/>
              <w:right w:val="single" w:color="000000" w:sz="8" w:space="0"/>
            </w:tcBorders>
            <w:shd w:val="clear" w:color="auto" w:fill="auto"/>
            <w:vAlign w:val="center"/>
          </w:tcPr>
          <w:p w14:paraId="5E306627">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533DFFAC">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6B77322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w:t>
            </w:r>
          </w:p>
        </w:tc>
        <w:tc>
          <w:tcPr>
            <w:tcW w:w="1956" w:type="dxa"/>
            <w:tcBorders>
              <w:top w:val="nil"/>
              <w:left w:val="nil"/>
              <w:bottom w:val="single" w:color="auto" w:sz="8" w:space="0"/>
              <w:right w:val="single" w:color="auto" w:sz="8" w:space="0"/>
            </w:tcBorders>
            <w:shd w:val="clear" w:color="auto" w:fill="auto"/>
            <w:vAlign w:val="center"/>
          </w:tcPr>
          <w:p w14:paraId="750E39E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动力电池电芯循环寿命（循环条件）</w:t>
            </w:r>
          </w:p>
        </w:tc>
        <w:tc>
          <w:tcPr>
            <w:tcW w:w="4905" w:type="dxa"/>
            <w:tcBorders>
              <w:top w:val="nil"/>
              <w:left w:val="nil"/>
              <w:bottom w:val="single" w:color="auto" w:sz="8" w:space="0"/>
              <w:right w:val="single" w:color="auto" w:sz="8" w:space="0"/>
            </w:tcBorders>
            <w:shd w:val="clear" w:color="auto" w:fill="auto"/>
            <w:vAlign w:val="center"/>
          </w:tcPr>
          <w:p w14:paraId="0575092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≥4000次</w:t>
            </w:r>
          </w:p>
        </w:tc>
        <w:tc>
          <w:tcPr>
            <w:tcW w:w="0" w:type="auto"/>
            <w:tcBorders>
              <w:top w:val="nil"/>
              <w:left w:val="nil"/>
              <w:bottom w:val="single" w:color="auto" w:sz="8" w:space="0"/>
              <w:right w:val="single" w:color="auto" w:sz="8" w:space="0"/>
            </w:tcBorders>
            <w:shd w:val="clear" w:color="auto" w:fill="auto"/>
            <w:vAlign w:val="center"/>
          </w:tcPr>
          <w:p w14:paraId="10600557">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4119B314">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6CA62E6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w:t>
            </w:r>
          </w:p>
        </w:tc>
        <w:tc>
          <w:tcPr>
            <w:tcW w:w="1956" w:type="dxa"/>
            <w:tcBorders>
              <w:top w:val="nil"/>
              <w:left w:val="nil"/>
              <w:bottom w:val="single" w:color="auto" w:sz="8" w:space="0"/>
              <w:right w:val="single" w:color="auto" w:sz="8" w:space="0"/>
            </w:tcBorders>
            <w:shd w:val="clear" w:color="auto" w:fill="auto"/>
            <w:vAlign w:val="center"/>
          </w:tcPr>
          <w:p w14:paraId="2EBCB26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★安全性</w:t>
            </w:r>
          </w:p>
        </w:tc>
        <w:tc>
          <w:tcPr>
            <w:tcW w:w="4905" w:type="dxa"/>
            <w:tcBorders>
              <w:top w:val="nil"/>
              <w:left w:val="nil"/>
              <w:bottom w:val="single" w:color="auto" w:sz="8" w:space="0"/>
              <w:right w:val="single" w:color="auto" w:sz="8" w:space="0"/>
            </w:tcBorders>
            <w:shd w:val="clear" w:color="auto" w:fill="auto"/>
            <w:vAlign w:val="center"/>
          </w:tcPr>
          <w:p w14:paraId="3F23BCE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换装新全套动力电池后，保证车辆能够正常使用，</w:t>
            </w:r>
            <w:r>
              <w:rPr>
                <w:rFonts w:hint="eastAsia" w:ascii="宋体" w:hAnsi="宋体" w:eastAsia="宋体" w:cs="宋体"/>
                <w:color w:val="auto"/>
                <w:sz w:val="24"/>
                <w:szCs w:val="24"/>
                <w:shd w:val="clear" w:color="auto" w:fill="FFFFFF"/>
              </w:rPr>
              <w:t>满足GB38031-2020《电动汽车用动力蓄电池安全要求》强制性国家标准要求，</w:t>
            </w:r>
            <w:r>
              <w:rPr>
                <w:rFonts w:hint="eastAsia" w:asciiTheme="minorEastAsia" w:hAnsiTheme="minorEastAsia" w:eastAsiaTheme="minorEastAsia" w:cstheme="minorEastAsia"/>
                <w:color w:val="auto"/>
                <w:sz w:val="24"/>
                <w:szCs w:val="24"/>
              </w:rPr>
              <w:t>并对所换部件及整车的安全使用性负责。</w:t>
            </w:r>
          </w:p>
        </w:tc>
        <w:tc>
          <w:tcPr>
            <w:tcW w:w="0" w:type="auto"/>
            <w:tcBorders>
              <w:top w:val="nil"/>
              <w:left w:val="nil"/>
              <w:bottom w:val="single" w:color="auto" w:sz="8" w:space="0"/>
              <w:right w:val="single" w:color="auto" w:sz="8" w:space="0"/>
            </w:tcBorders>
            <w:shd w:val="clear" w:color="auto" w:fill="auto"/>
            <w:vAlign w:val="center"/>
          </w:tcPr>
          <w:p w14:paraId="0C7717A5">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投标人提供安全承诺书、及</w:t>
            </w:r>
            <w:r>
              <w:rPr>
                <w:rFonts w:hint="eastAsia" w:ascii="宋体" w:hAnsi="宋体" w:eastAsia="宋体" w:cs="宋体"/>
                <w:color w:val="auto"/>
                <w:sz w:val="24"/>
                <w:szCs w:val="24"/>
                <w:shd w:val="clear" w:color="auto" w:fill="FFFFFF"/>
              </w:rPr>
              <w:t>GB38031-2020</w:t>
            </w:r>
            <w:r>
              <w:rPr>
                <w:rFonts w:hint="eastAsia" w:asciiTheme="minorEastAsia" w:hAnsiTheme="minorEastAsia" w:eastAsiaTheme="minorEastAsia" w:cstheme="minorEastAsia"/>
                <w:color w:val="auto"/>
                <w:sz w:val="24"/>
                <w:szCs w:val="24"/>
              </w:rPr>
              <w:t>动力电池检测报告单</w:t>
            </w:r>
          </w:p>
        </w:tc>
      </w:tr>
      <w:tr w14:paraId="418AAD9D">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482C8889">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w:t>
            </w:r>
          </w:p>
        </w:tc>
        <w:tc>
          <w:tcPr>
            <w:tcW w:w="1956" w:type="dxa"/>
            <w:tcBorders>
              <w:top w:val="nil"/>
              <w:left w:val="nil"/>
              <w:bottom w:val="single" w:color="auto" w:sz="8" w:space="0"/>
              <w:right w:val="single" w:color="auto" w:sz="8" w:space="0"/>
            </w:tcBorders>
            <w:shd w:val="clear" w:color="auto" w:fill="auto"/>
            <w:vAlign w:val="center"/>
          </w:tcPr>
          <w:p w14:paraId="27FD636A">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★质保期限</w:t>
            </w:r>
          </w:p>
        </w:tc>
        <w:tc>
          <w:tcPr>
            <w:tcW w:w="4905" w:type="dxa"/>
            <w:tcBorders>
              <w:top w:val="nil"/>
              <w:left w:val="nil"/>
              <w:bottom w:val="single" w:color="auto" w:sz="8" w:space="0"/>
              <w:right w:val="single" w:color="auto" w:sz="8" w:space="0"/>
            </w:tcBorders>
            <w:shd w:val="clear" w:color="auto" w:fill="auto"/>
            <w:vAlign w:val="center"/>
          </w:tcPr>
          <w:p w14:paraId="5C0D9082">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质保期不少于5年或20万公里，质保期内电池容量不低于新换装电池总容量的80%。更新的动力电池箱总成工作温度、电压一致性要求、SOC值等应符合车辆运行要求</w:t>
            </w:r>
          </w:p>
        </w:tc>
        <w:tc>
          <w:tcPr>
            <w:tcW w:w="0" w:type="auto"/>
            <w:tcBorders>
              <w:top w:val="nil"/>
              <w:left w:val="nil"/>
              <w:bottom w:val="single" w:color="auto" w:sz="8" w:space="0"/>
              <w:right w:val="single" w:color="auto" w:sz="8" w:space="0"/>
            </w:tcBorders>
            <w:shd w:val="clear" w:color="auto" w:fill="auto"/>
            <w:vAlign w:val="center"/>
          </w:tcPr>
          <w:p w14:paraId="0A9BDB6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投标人提供质保函</w:t>
            </w:r>
          </w:p>
        </w:tc>
      </w:tr>
    </w:tbl>
    <w:p w14:paraId="61AEF745">
      <w:pPr>
        <w:spacing w:line="360" w:lineRule="auto"/>
        <w:ind w:firstLine="482"/>
        <w:outlineLvl w:val="1"/>
        <w:rPr>
          <w:rFonts w:ascii="宋体" w:hAnsi="宋体" w:eastAsia="宋体"/>
          <w:b/>
          <w:bCs/>
          <w:color w:val="auto"/>
          <w:szCs w:val="18"/>
        </w:rPr>
      </w:pPr>
      <w:r>
        <w:rPr>
          <w:rFonts w:hint="eastAsia" w:ascii="宋体" w:hAnsi="宋体" w:eastAsia="宋体"/>
          <w:b/>
          <w:bCs/>
          <w:color w:val="auto"/>
          <w:szCs w:val="18"/>
        </w:rPr>
        <w:t>（三）新电池具体技术参数要求如下：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3554"/>
        <w:gridCol w:w="2982"/>
        <w:gridCol w:w="2256"/>
      </w:tblGrid>
      <w:tr w14:paraId="1316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936" w:type="dxa"/>
            <w:shd w:val="clear" w:color="auto" w:fill="D9D9D9"/>
            <w:vAlign w:val="center"/>
          </w:tcPr>
          <w:p w14:paraId="71AF4D29">
            <w:pPr>
              <w:pStyle w:val="7"/>
              <w:ind w:firstLine="480"/>
              <w:rPr>
                <w:color w:val="auto"/>
              </w:rPr>
            </w:pPr>
            <w:r>
              <w:rPr>
                <w:color w:val="auto"/>
              </w:rPr>
              <w:t>序号</w:t>
            </w:r>
          </w:p>
        </w:tc>
        <w:tc>
          <w:tcPr>
            <w:tcW w:w="3554" w:type="dxa"/>
            <w:shd w:val="clear" w:color="auto" w:fill="D9D9D9"/>
            <w:vAlign w:val="center"/>
          </w:tcPr>
          <w:p w14:paraId="64B5B667">
            <w:pPr>
              <w:pStyle w:val="7"/>
              <w:ind w:firstLine="480"/>
              <w:rPr>
                <w:color w:val="auto"/>
              </w:rPr>
            </w:pPr>
            <w:r>
              <w:rPr>
                <w:color w:val="auto"/>
              </w:rPr>
              <w:t>项目名称</w:t>
            </w:r>
          </w:p>
        </w:tc>
        <w:tc>
          <w:tcPr>
            <w:tcW w:w="2982" w:type="dxa"/>
            <w:shd w:val="clear" w:color="auto" w:fill="D9D9D9"/>
            <w:vAlign w:val="center"/>
          </w:tcPr>
          <w:p w14:paraId="4C190990">
            <w:pPr>
              <w:pStyle w:val="7"/>
              <w:ind w:firstLine="480"/>
              <w:rPr>
                <w:color w:val="auto"/>
              </w:rPr>
            </w:pPr>
            <w:r>
              <w:rPr>
                <w:color w:val="auto"/>
              </w:rPr>
              <w:t>技术参数</w:t>
            </w:r>
          </w:p>
        </w:tc>
        <w:tc>
          <w:tcPr>
            <w:tcW w:w="2256" w:type="dxa"/>
            <w:shd w:val="clear" w:color="auto" w:fill="D9D9D9"/>
            <w:vAlign w:val="center"/>
          </w:tcPr>
          <w:p w14:paraId="2E4B03A0">
            <w:pPr>
              <w:pStyle w:val="7"/>
              <w:ind w:firstLine="480"/>
              <w:rPr>
                <w:color w:val="auto"/>
              </w:rPr>
            </w:pPr>
            <w:r>
              <w:rPr>
                <w:color w:val="auto"/>
              </w:rPr>
              <w:t>备注</w:t>
            </w:r>
          </w:p>
        </w:tc>
      </w:tr>
      <w:tr w14:paraId="1AC52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36" w:type="dxa"/>
            <w:vAlign w:val="center"/>
          </w:tcPr>
          <w:p w14:paraId="55EF3781">
            <w:pPr>
              <w:pStyle w:val="7"/>
              <w:ind w:firstLine="480"/>
              <w:rPr>
                <w:color w:val="auto"/>
              </w:rPr>
            </w:pPr>
            <w:r>
              <w:rPr>
                <w:color w:val="auto"/>
              </w:rPr>
              <w:t>1</w:t>
            </w:r>
          </w:p>
        </w:tc>
        <w:tc>
          <w:tcPr>
            <w:tcW w:w="3554" w:type="dxa"/>
            <w:vAlign w:val="center"/>
          </w:tcPr>
          <w:p w14:paraId="30A1EECD">
            <w:pPr>
              <w:pStyle w:val="7"/>
              <w:ind w:firstLine="480"/>
              <w:rPr>
                <w:color w:val="auto"/>
              </w:rPr>
            </w:pPr>
            <w:r>
              <w:rPr>
                <w:color w:val="auto"/>
              </w:rPr>
              <w:t>额定容量(Ah)</w:t>
            </w:r>
          </w:p>
        </w:tc>
        <w:tc>
          <w:tcPr>
            <w:tcW w:w="2982" w:type="dxa"/>
            <w:vAlign w:val="center"/>
          </w:tcPr>
          <w:p w14:paraId="248462C2">
            <w:pPr>
              <w:pStyle w:val="7"/>
              <w:ind w:firstLine="480"/>
              <w:rPr>
                <w:color w:val="auto"/>
              </w:rPr>
            </w:pPr>
            <w:r>
              <w:rPr>
                <w:color w:val="auto"/>
              </w:rPr>
              <w:t>≥</w:t>
            </w:r>
            <w:r>
              <w:rPr>
                <w:rFonts w:hint="eastAsia"/>
                <w:color w:val="auto"/>
              </w:rPr>
              <w:t>50</w:t>
            </w:r>
          </w:p>
        </w:tc>
        <w:tc>
          <w:tcPr>
            <w:tcW w:w="2256" w:type="dxa"/>
            <w:vAlign w:val="center"/>
          </w:tcPr>
          <w:p w14:paraId="39C6F1DA">
            <w:pPr>
              <w:pStyle w:val="7"/>
              <w:ind w:firstLine="480"/>
              <w:rPr>
                <w:color w:val="auto"/>
              </w:rPr>
            </w:pPr>
          </w:p>
        </w:tc>
      </w:tr>
      <w:tr w14:paraId="13B3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36" w:type="dxa"/>
            <w:vAlign w:val="center"/>
          </w:tcPr>
          <w:p w14:paraId="4409C61F">
            <w:pPr>
              <w:pStyle w:val="7"/>
              <w:ind w:firstLine="480"/>
              <w:rPr>
                <w:color w:val="auto"/>
              </w:rPr>
            </w:pPr>
            <w:r>
              <w:rPr>
                <w:color w:val="auto"/>
              </w:rPr>
              <w:t>2</w:t>
            </w:r>
          </w:p>
        </w:tc>
        <w:tc>
          <w:tcPr>
            <w:tcW w:w="3554" w:type="dxa"/>
            <w:vAlign w:val="center"/>
          </w:tcPr>
          <w:p w14:paraId="5A1DAE93">
            <w:pPr>
              <w:pStyle w:val="7"/>
              <w:ind w:firstLine="480"/>
              <w:rPr>
                <w:color w:val="auto"/>
              </w:rPr>
            </w:pPr>
            <w:r>
              <w:rPr>
                <w:color w:val="auto"/>
              </w:rPr>
              <w:t>标称电压(V)</w:t>
            </w:r>
          </w:p>
        </w:tc>
        <w:tc>
          <w:tcPr>
            <w:tcW w:w="2982" w:type="dxa"/>
            <w:vAlign w:val="center"/>
          </w:tcPr>
          <w:p w14:paraId="45214720">
            <w:pPr>
              <w:pStyle w:val="7"/>
              <w:ind w:firstLine="480"/>
              <w:rPr>
                <w:color w:val="auto"/>
              </w:rPr>
            </w:pPr>
            <w:r>
              <w:rPr>
                <w:color w:val="auto"/>
              </w:rPr>
              <w:t>≥</w:t>
            </w:r>
            <w:r>
              <w:rPr>
                <w:rFonts w:hint="eastAsia"/>
                <w:color w:val="auto"/>
              </w:rPr>
              <w:t>503</w:t>
            </w:r>
          </w:p>
        </w:tc>
        <w:tc>
          <w:tcPr>
            <w:tcW w:w="2256" w:type="dxa"/>
            <w:vAlign w:val="center"/>
          </w:tcPr>
          <w:p w14:paraId="6F40896F">
            <w:pPr>
              <w:pStyle w:val="7"/>
              <w:ind w:firstLine="480"/>
              <w:rPr>
                <w:color w:val="auto"/>
              </w:rPr>
            </w:pPr>
            <w:r>
              <w:rPr>
                <w:rFonts w:hint="eastAsia"/>
                <w:color w:val="auto"/>
              </w:rPr>
              <w:t>单体3.7</w:t>
            </w:r>
          </w:p>
        </w:tc>
      </w:tr>
      <w:tr w14:paraId="3E924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936" w:type="dxa"/>
            <w:vAlign w:val="center"/>
          </w:tcPr>
          <w:p w14:paraId="48D314C2">
            <w:pPr>
              <w:pStyle w:val="7"/>
              <w:ind w:firstLine="480"/>
              <w:rPr>
                <w:color w:val="auto"/>
              </w:rPr>
            </w:pPr>
            <w:r>
              <w:rPr>
                <w:color w:val="auto"/>
              </w:rPr>
              <w:t>3</w:t>
            </w:r>
          </w:p>
        </w:tc>
        <w:tc>
          <w:tcPr>
            <w:tcW w:w="3554" w:type="dxa"/>
            <w:vAlign w:val="center"/>
          </w:tcPr>
          <w:p w14:paraId="265EA0CB">
            <w:pPr>
              <w:pStyle w:val="7"/>
              <w:ind w:firstLine="480"/>
              <w:rPr>
                <w:color w:val="auto"/>
              </w:rPr>
            </w:pPr>
            <w:r>
              <w:rPr>
                <w:color w:val="auto"/>
              </w:rPr>
              <w:t>电池</w:t>
            </w:r>
            <w:r>
              <w:rPr>
                <w:rFonts w:hint="eastAsia"/>
                <w:color w:val="auto"/>
              </w:rPr>
              <w:t>SOC工作</w:t>
            </w:r>
            <w:r>
              <w:rPr>
                <w:color w:val="auto"/>
              </w:rPr>
              <w:t>范围(V)</w:t>
            </w:r>
          </w:p>
        </w:tc>
        <w:tc>
          <w:tcPr>
            <w:tcW w:w="2982" w:type="dxa"/>
            <w:vAlign w:val="center"/>
          </w:tcPr>
          <w:p w14:paraId="04D90610">
            <w:pPr>
              <w:pStyle w:val="7"/>
              <w:ind w:firstLine="480"/>
              <w:rPr>
                <w:color w:val="auto"/>
              </w:rPr>
            </w:pPr>
            <w:r>
              <w:rPr>
                <w:rFonts w:hint="eastAsia"/>
                <w:color w:val="auto"/>
              </w:rPr>
              <w:t>20%-100%</w:t>
            </w:r>
          </w:p>
        </w:tc>
        <w:tc>
          <w:tcPr>
            <w:tcW w:w="2256" w:type="dxa"/>
            <w:vAlign w:val="center"/>
          </w:tcPr>
          <w:p w14:paraId="03D7B281">
            <w:pPr>
              <w:pStyle w:val="7"/>
              <w:ind w:firstLine="480"/>
              <w:rPr>
                <w:color w:val="auto"/>
              </w:rPr>
            </w:pPr>
            <w:r>
              <w:rPr>
                <w:color w:val="auto"/>
              </w:rPr>
              <w:t>单体</w:t>
            </w:r>
            <w:r>
              <w:rPr>
                <w:rFonts w:hint="eastAsia"/>
                <w:color w:val="auto"/>
              </w:rPr>
              <w:t>3.6</w:t>
            </w:r>
            <w:r>
              <w:rPr>
                <w:rFonts w:hint="eastAsia" w:ascii="微软雅黑" w:hAnsi="微软雅黑" w:eastAsia="微软雅黑" w:cs="微软雅黑"/>
                <w:color w:val="auto"/>
              </w:rPr>
              <w:t>~</w:t>
            </w:r>
            <w:r>
              <w:rPr>
                <w:rFonts w:hint="eastAsia"/>
                <w:color w:val="auto"/>
              </w:rPr>
              <w:t>4.3</w:t>
            </w:r>
          </w:p>
        </w:tc>
      </w:tr>
      <w:tr w14:paraId="4122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36" w:type="dxa"/>
            <w:vAlign w:val="center"/>
          </w:tcPr>
          <w:p w14:paraId="6617790A">
            <w:pPr>
              <w:pStyle w:val="7"/>
              <w:ind w:firstLine="480"/>
              <w:rPr>
                <w:color w:val="auto"/>
              </w:rPr>
            </w:pPr>
            <w:r>
              <w:rPr>
                <w:color w:val="auto"/>
              </w:rPr>
              <w:t>4</w:t>
            </w:r>
          </w:p>
        </w:tc>
        <w:tc>
          <w:tcPr>
            <w:tcW w:w="3554" w:type="dxa"/>
            <w:vAlign w:val="center"/>
          </w:tcPr>
          <w:p w14:paraId="0243AF22">
            <w:pPr>
              <w:pStyle w:val="7"/>
              <w:ind w:firstLine="480"/>
              <w:rPr>
                <w:color w:val="auto"/>
              </w:rPr>
            </w:pPr>
            <w:r>
              <w:rPr>
                <w:color w:val="auto"/>
              </w:rPr>
              <w:t>电池成组方案</w:t>
            </w:r>
          </w:p>
        </w:tc>
        <w:tc>
          <w:tcPr>
            <w:tcW w:w="2982" w:type="dxa"/>
            <w:vAlign w:val="center"/>
          </w:tcPr>
          <w:p w14:paraId="0EAE8A93">
            <w:pPr>
              <w:pStyle w:val="7"/>
              <w:ind w:firstLine="480"/>
              <w:rPr>
                <w:color w:val="auto"/>
              </w:rPr>
            </w:pPr>
            <w:r>
              <w:rPr>
                <w:color w:val="auto"/>
              </w:rPr>
              <w:t>共</w:t>
            </w:r>
            <w:r>
              <w:rPr>
                <w:rFonts w:hint="eastAsia"/>
                <w:color w:val="auto"/>
              </w:rPr>
              <w:t>2</w:t>
            </w:r>
            <w:r>
              <w:rPr>
                <w:color w:val="auto"/>
              </w:rPr>
              <w:t>并</w:t>
            </w:r>
            <w:r>
              <w:rPr>
                <w:rFonts w:hint="eastAsia"/>
                <w:color w:val="auto"/>
              </w:rPr>
              <w:t>138</w:t>
            </w:r>
            <w:r>
              <w:rPr>
                <w:color w:val="auto"/>
              </w:rPr>
              <w:t>串，</w:t>
            </w:r>
            <w:r>
              <w:rPr>
                <w:rFonts w:hint="eastAsia"/>
                <w:color w:val="auto"/>
              </w:rPr>
              <w:t>2</w:t>
            </w:r>
            <w:r>
              <w:rPr>
                <w:color w:val="auto"/>
              </w:rPr>
              <w:t>箱</w:t>
            </w:r>
          </w:p>
          <w:p w14:paraId="79E0FB16">
            <w:pPr>
              <w:pStyle w:val="7"/>
              <w:ind w:firstLine="480"/>
              <w:rPr>
                <w:color w:val="auto"/>
              </w:rPr>
            </w:pPr>
            <w:r>
              <w:rPr>
                <w:rFonts w:hint="eastAsia"/>
                <w:color w:val="auto"/>
              </w:rPr>
              <w:t>1箱46串，另一箱92串</w:t>
            </w:r>
          </w:p>
        </w:tc>
        <w:tc>
          <w:tcPr>
            <w:tcW w:w="2256" w:type="dxa"/>
            <w:vAlign w:val="center"/>
          </w:tcPr>
          <w:p w14:paraId="2CDACA14">
            <w:pPr>
              <w:pStyle w:val="7"/>
              <w:ind w:firstLine="480"/>
              <w:rPr>
                <w:color w:val="auto"/>
              </w:rPr>
            </w:pPr>
          </w:p>
        </w:tc>
      </w:tr>
      <w:tr w14:paraId="580F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36" w:type="dxa"/>
            <w:vAlign w:val="center"/>
          </w:tcPr>
          <w:p w14:paraId="5486900D">
            <w:pPr>
              <w:pStyle w:val="7"/>
              <w:ind w:firstLine="480"/>
              <w:rPr>
                <w:color w:val="auto"/>
              </w:rPr>
            </w:pPr>
            <w:r>
              <w:rPr>
                <w:color w:val="auto"/>
              </w:rPr>
              <w:t>5</w:t>
            </w:r>
          </w:p>
        </w:tc>
        <w:tc>
          <w:tcPr>
            <w:tcW w:w="3554" w:type="dxa"/>
            <w:vAlign w:val="center"/>
          </w:tcPr>
          <w:p w14:paraId="32AA1578">
            <w:pPr>
              <w:pStyle w:val="7"/>
              <w:ind w:firstLine="480"/>
              <w:rPr>
                <w:color w:val="auto"/>
              </w:rPr>
            </w:pPr>
            <w:r>
              <w:rPr>
                <w:color w:val="auto"/>
              </w:rPr>
              <w:t>额定存储能量(kWh)</w:t>
            </w:r>
          </w:p>
        </w:tc>
        <w:tc>
          <w:tcPr>
            <w:tcW w:w="2982" w:type="dxa"/>
            <w:vAlign w:val="center"/>
          </w:tcPr>
          <w:p w14:paraId="0B46883D">
            <w:pPr>
              <w:pStyle w:val="7"/>
              <w:ind w:firstLine="480"/>
              <w:rPr>
                <w:color w:val="auto"/>
              </w:rPr>
            </w:pPr>
            <w:r>
              <w:rPr>
                <w:color w:val="auto"/>
              </w:rPr>
              <w:t>≥</w:t>
            </w:r>
            <w:r>
              <w:rPr>
                <w:rFonts w:hint="eastAsia"/>
                <w:color w:val="auto"/>
              </w:rPr>
              <w:t>25</w:t>
            </w:r>
          </w:p>
        </w:tc>
        <w:tc>
          <w:tcPr>
            <w:tcW w:w="2256" w:type="dxa"/>
            <w:vAlign w:val="center"/>
          </w:tcPr>
          <w:p w14:paraId="2DF66983">
            <w:pPr>
              <w:pStyle w:val="7"/>
              <w:ind w:firstLine="480"/>
              <w:rPr>
                <w:color w:val="auto"/>
              </w:rPr>
            </w:pPr>
          </w:p>
        </w:tc>
      </w:tr>
      <w:tr w14:paraId="5D42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36" w:type="dxa"/>
            <w:vAlign w:val="center"/>
          </w:tcPr>
          <w:p w14:paraId="5BAEBBAB">
            <w:pPr>
              <w:pStyle w:val="7"/>
              <w:ind w:firstLine="480"/>
              <w:rPr>
                <w:color w:val="auto"/>
              </w:rPr>
            </w:pPr>
            <w:r>
              <w:rPr>
                <w:color w:val="auto"/>
              </w:rPr>
              <w:t>6</w:t>
            </w:r>
          </w:p>
        </w:tc>
        <w:tc>
          <w:tcPr>
            <w:tcW w:w="3554" w:type="dxa"/>
            <w:vAlign w:val="center"/>
          </w:tcPr>
          <w:p w14:paraId="5E0CDB42">
            <w:pPr>
              <w:pStyle w:val="7"/>
              <w:ind w:firstLine="480"/>
              <w:rPr>
                <w:color w:val="auto"/>
              </w:rPr>
            </w:pPr>
            <w:r>
              <w:rPr>
                <w:color w:val="auto"/>
              </w:rPr>
              <w:t>可用能量(kWh)</w:t>
            </w:r>
          </w:p>
        </w:tc>
        <w:tc>
          <w:tcPr>
            <w:tcW w:w="2982" w:type="dxa"/>
            <w:vAlign w:val="center"/>
          </w:tcPr>
          <w:p w14:paraId="24B1FAD9">
            <w:pPr>
              <w:pStyle w:val="7"/>
              <w:ind w:firstLine="480"/>
              <w:rPr>
                <w:color w:val="auto"/>
              </w:rPr>
            </w:pPr>
            <w:r>
              <w:rPr>
                <w:color w:val="auto"/>
              </w:rPr>
              <w:t>≥</w:t>
            </w:r>
            <w:r>
              <w:rPr>
                <w:rFonts w:hint="eastAsia"/>
                <w:color w:val="auto"/>
              </w:rPr>
              <w:t>25</w:t>
            </w:r>
          </w:p>
        </w:tc>
        <w:tc>
          <w:tcPr>
            <w:tcW w:w="2256" w:type="dxa"/>
            <w:vAlign w:val="center"/>
          </w:tcPr>
          <w:p w14:paraId="33EF8770">
            <w:pPr>
              <w:pStyle w:val="7"/>
              <w:ind w:firstLine="480"/>
              <w:rPr>
                <w:color w:val="auto"/>
              </w:rPr>
            </w:pPr>
            <w:r>
              <w:rPr>
                <w:color w:val="auto"/>
              </w:rPr>
              <w:t>100%DOD，产品到货</w:t>
            </w:r>
            <w:r>
              <w:rPr>
                <w:rFonts w:hint="eastAsia"/>
                <w:color w:val="auto"/>
              </w:rPr>
              <w:t>1个月内检测</w:t>
            </w:r>
          </w:p>
        </w:tc>
      </w:tr>
      <w:tr w14:paraId="7AB93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36" w:type="dxa"/>
            <w:vAlign w:val="center"/>
          </w:tcPr>
          <w:p w14:paraId="3A785C5B">
            <w:pPr>
              <w:pStyle w:val="7"/>
              <w:ind w:firstLine="480"/>
              <w:rPr>
                <w:color w:val="auto"/>
              </w:rPr>
            </w:pPr>
            <w:r>
              <w:rPr>
                <w:color w:val="auto"/>
              </w:rPr>
              <w:t>7</w:t>
            </w:r>
          </w:p>
        </w:tc>
        <w:tc>
          <w:tcPr>
            <w:tcW w:w="3554" w:type="dxa"/>
            <w:vAlign w:val="center"/>
          </w:tcPr>
          <w:p w14:paraId="77E0D685">
            <w:pPr>
              <w:pStyle w:val="7"/>
              <w:ind w:firstLine="480"/>
              <w:rPr>
                <w:color w:val="auto"/>
              </w:rPr>
            </w:pPr>
            <w:r>
              <w:rPr>
                <w:rFonts w:hint="eastAsia"/>
                <w:color w:val="auto"/>
              </w:rPr>
              <w:t>电池工作温度</w:t>
            </w:r>
          </w:p>
        </w:tc>
        <w:tc>
          <w:tcPr>
            <w:tcW w:w="2982" w:type="dxa"/>
            <w:vAlign w:val="center"/>
          </w:tcPr>
          <w:p w14:paraId="39B9B64A">
            <w:pPr>
              <w:pStyle w:val="7"/>
              <w:ind w:firstLine="480"/>
              <w:rPr>
                <w:color w:val="auto"/>
              </w:rPr>
            </w:pPr>
            <w:r>
              <w:rPr>
                <w:rFonts w:hint="eastAsia"/>
                <w:color w:val="auto"/>
              </w:rPr>
              <w:t>-20-50度</w:t>
            </w:r>
          </w:p>
        </w:tc>
        <w:tc>
          <w:tcPr>
            <w:tcW w:w="2256" w:type="dxa"/>
            <w:vAlign w:val="center"/>
          </w:tcPr>
          <w:p w14:paraId="36D9C497">
            <w:pPr>
              <w:pStyle w:val="7"/>
              <w:ind w:firstLine="480"/>
              <w:rPr>
                <w:color w:val="auto"/>
              </w:rPr>
            </w:pPr>
          </w:p>
        </w:tc>
      </w:tr>
      <w:tr w14:paraId="37450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36" w:type="dxa"/>
            <w:vAlign w:val="center"/>
          </w:tcPr>
          <w:p w14:paraId="61516C8F">
            <w:pPr>
              <w:pStyle w:val="7"/>
              <w:ind w:firstLine="480"/>
              <w:rPr>
                <w:color w:val="auto"/>
              </w:rPr>
            </w:pPr>
            <w:r>
              <w:rPr>
                <w:color w:val="auto"/>
              </w:rPr>
              <w:t>8</w:t>
            </w:r>
          </w:p>
        </w:tc>
        <w:tc>
          <w:tcPr>
            <w:tcW w:w="3554" w:type="dxa"/>
            <w:vAlign w:val="center"/>
          </w:tcPr>
          <w:p w14:paraId="18F695FD">
            <w:pPr>
              <w:pStyle w:val="7"/>
              <w:ind w:firstLine="480"/>
              <w:rPr>
                <w:color w:val="auto"/>
              </w:rPr>
            </w:pPr>
            <w:r>
              <w:rPr>
                <w:color w:val="auto"/>
              </w:rPr>
              <w:t>电池组最大充电功率（A）</w:t>
            </w:r>
          </w:p>
          <w:p w14:paraId="35BE34A8">
            <w:pPr>
              <w:pStyle w:val="7"/>
              <w:ind w:firstLine="480"/>
              <w:rPr>
                <w:color w:val="auto"/>
              </w:rPr>
            </w:pPr>
            <w:r>
              <w:rPr>
                <w:color w:val="auto"/>
              </w:rPr>
              <w:t>（25</w:t>
            </w:r>
            <w:r>
              <w:rPr>
                <w:rFonts w:hint="eastAsia"/>
                <w:color w:val="auto"/>
              </w:rPr>
              <w:t>℃</w:t>
            </w:r>
            <w:r>
              <w:rPr>
                <w:rFonts w:hint="eastAsia" w:ascii="微软雅黑" w:hAnsi="微软雅黑" w:eastAsia="微软雅黑" w:cs="微软雅黑"/>
                <w:color w:val="auto"/>
              </w:rPr>
              <w:t>~</w:t>
            </w:r>
            <w:r>
              <w:rPr>
                <w:color w:val="auto"/>
              </w:rPr>
              <w:t>45</w:t>
            </w:r>
            <w:r>
              <w:rPr>
                <w:rFonts w:hint="eastAsia"/>
                <w:color w:val="auto"/>
              </w:rPr>
              <w:t>℃</w:t>
            </w:r>
            <w:r>
              <w:rPr>
                <w:color w:val="auto"/>
              </w:rPr>
              <w:t>，SOC</w:t>
            </w:r>
            <w:r>
              <w:rPr>
                <w:rFonts w:hint="eastAsia"/>
                <w:color w:val="auto"/>
              </w:rPr>
              <w:t>≤</w:t>
            </w:r>
            <w:r>
              <w:rPr>
                <w:color w:val="auto"/>
              </w:rPr>
              <w:t>80%）</w:t>
            </w:r>
          </w:p>
        </w:tc>
        <w:tc>
          <w:tcPr>
            <w:tcW w:w="2982" w:type="dxa"/>
            <w:vAlign w:val="center"/>
          </w:tcPr>
          <w:p w14:paraId="637DA570">
            <w:pPr>
              <w:pStyle w:val="7"/>
              <w:ind w:firstLine="480"/>
              <w:rPr>
                <w:color w:val="auto"/>
              </w:rPr>
            </w:pPr>
            <w:r>
              <w:rPr>
                <w:color w:val="auto"/>
              </w:rPr>
              <w:t>≥</w:t>
            </w:r>
            <w:r>
              <w:rPr>
                <w:rFonts w:hint="eastAsia"/>
                <w:color w:val="auto"/>
              </w:rPr>
              <w:t>300</w:t>
            </w:r>
          </w:p>
        </w:tc>
        <w:tc>
          <w:tcPr>
            <w:tcW w:w="2256" w:type="dxa"/>
            <w:vAlign w:val="center"/>
          </w:tcPr>
          <w:p w14:paraId="7F9B9BCE">
            <w:pPr>
              <w:pStyle w:val="7"/>
              <w:ind w:firstLine="480"/>
              <w:rPr>
                <w:color w:val="auto"/>
              </w:rPr>
            </w:pPr>
          </w:p>
        </w:tc>
      </w:tr>
      <w:tr w14:paraId="278D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936" w:type="dxa"/>
            <w:vAlign w:val="center"/>
          </w:tcPr>
          <w:p w14:paraId="5F076D8E">
            <w:pPr>
              <w:pStyle w:val="7"/>
              <w:ind w:firstLine="480"/>
              <w:rPr>
                <w:color w:val="auto"/>
              </w:rPr>
            </w:pPr>
            <w:r>
              <w:rPr>
                <w:color w:val="auto"/>
              </w:rPr>
              <w:t>9</w:t>
            </w:r>
          </w:p>
        </w:tc>
        <w:tc>
          <w:tcPr>
            <w:tcW w:w="3554" w:type="dxa"/>
            <w:vAlign w:val="center"/>
          </w:tcPr>
          <w:p w14:paraId="0FE0D1E5">
            <w:pPr>
              <w:pStyle w:val="7"/>
              <w:ind w:firstLine="480"/>
              <w:rPr>
                <w:color w:val="auto"/>
              </w:rPr>
            </w:pPr>
            <w:r>
              <w:rPr>
                <w:color w:val="auto"/>
              </w:rPr>
              <w:t>电池组最大放电功率（</w:t>
            </w:r>
            <w:r>
              <w:rPr>
                <w:rFonts w:hint="eastAsia"/>
                <w:color w:val="auto"/>
              </w:rPr>
              <w:t>A</w:t>
            </w:r>
            <w:r>
              <w:rPr>
                <w:color w:val="auto"/>
              </w:rPr>
              <w:t>）</w:t>
            </w:r>
          </w:p>
          <w:p w14:paraId="16330160">
            <w:pPr>
              <w:pStyle w:val="7"/>
              <w:ind w:firstLine="480"/>
              <w:rPr>
                <w:color w:val="auto"/>
              </w:rPr>
            </w:pPr>
            <w:r>
              <w:rPr>
                <w:color w:val="auto"/>
              </w:rPr>
              <w:t>（25</w:t>
            </w:r>
            <w:r>
              <w:rPr>
                <w:rFonts w:hint="eastAsia" w:hAnsi="宋体" w:cs="宋体"/>
                <w:color w:val="auto"/>
              </w:rPr>
              <w:t>℃</w:t>
            </w:r>
            <w:r>
              <w:rPr>
                <w:rFonts w:hint="eastAsia" w:ascii="微软雅黑" w:hAnsi="微软雅黑" w:eastAsia="微软雅黑" w:cs="微软雅黑"/>
                <w:color w:val="auto"/>
              </w:rPr>
              <w:t>~</w:t>
            </w:r>
            <w:r>
              <w:rPr>
                <w:color w:val="auto"/>
              </w:rPr>
              <w:t>45</w:t>
            </w:r>
            <w:r>
              <w:rPr>
                <w:rFonts w:hint="eastAsia" w:hAnsi="宋体" w:cs="宋体"/>
                <w:color w:val="auto"/>
              </w:rPr>
              <w:t>℃</w:t>
            </w:r>
            <w:r>
              <w:rPr>
                <w:color w:val="auto"/>
              </w:rPr>
              <w:t>，SOC</w:t>
            </w:r>
            <w:r>
              <w:rPr>
                <w:rFonts w:hint="eastAsia"/>
                <w:color w:val="auto"/>
              </w:rPr>
              <w:t>≤</w:t>
            </w:r>
            <w:r>
              <w:rPr>
                <w:color w:val="auto"/>
              </w:rPr>
              <w:t>80%</w:t>
            </w:r>
            <w:r>
              <w:rPr>
                <w:rFonts w:hint="eastAsia"/>
                <w:color w:val="auto"/>
              </w:rPr>
              <w:t>，EOL</w:t>
            </w:r>
            <w:r>
              <w:rPr>
                <w:color w:val="auto"/>
              </w:rPr>
              <w:t>）</w:t>
            </w:r>
          </w:p>
        </w:tc>
        <w:tc>
          <w:tcPr>
            <w:tcW w:w="2982" w:type="dxa"/>
            <w:vAlign w:val="center"/>
          </w:tcPr>
          <w:p w14:paraId="0D80D140">
            <w:pPr>
              <w:pStyle w:val="7"/>
              <w:ind w:firstLine="480"/>
              <w:rPr>
                <w:color w:val="auto"/>
              </w:rPr>
            </w:pPr>
            <w:r>
              <w:rPr>
                <w:color w:val="auto"/>
              </w:rPr>
              <w:t>≥</w:t>
            </w:r>
            <w:r>
              <w:rPr>
                <w:rFonts w:hint="eastAsia"/>
                <w:color w:val="auto"/>
              </w:rPr>
              <w:t>320</w:t>
            </w:r>
          </w:p>
        </w:tc>
        <w:tc>
          <w:tcPr>
            <w:tcW w:w="2256" w:type="dxa"/>
            <w:vAlign w:val="center"/>
          </w:tcPr>
          <w:p w14:paraId="4956B66B">
            <w:pPr>
              <w:pStyle w:val="7"/>
              <w:ind w:firstLine="480"/>
              <w:rPr>
                <w:color w:val="auto"/>
              </w:rPr>
            </w:pPr>
          </w:p>
        </w:tc>
      </w:tr>
      <w:tr w14:paraId="362CC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936" w:type="dxa"/>
            <w:vAlign w:val="center"/>
          </w:tcPr>
          <w:p w14:paraId="3980B38A">
            <w:pPr>
              <w:pStyle w:val="7"/>
              <w:ind w:firstLine="480"/>
              <w:rPr>
                <w:color w:val="auto"/>
              </w:rPr>
            </w:pPr>
            <w:r>
              <w:rPr>
                <w:rFonts w:hint="eastAsia"/>
                <w:color w:val="auto"/>
              </w:rPr>
              <w:t>10</w:t>
            </w:r>
          </w:p>
        </w:tc>
        <w:tc>
          <w:tcPr>
            <w:tcW w:w="3554" w:type="dxa"/>
            <w:vAlign w:val="center"/>
          </w:tcPr>
          <w:p w14:paraId="35DCC168">
            <w:pPr>
              <w:pStyle w:val="7"/>
              <w:ind w:firstLine="480"/>
              <w:rPr>
                <w:color w:val="auto"/>
              </w:rPr>
            </w:pPr>
            <w:r>
              <w:rPr>
                <w:color w:val="auto"/>
              </w:rPr>
              <w:t>单体自放电</w:t>
            </w:r>
          </w:p>
        </w:tc>
        <w:tc>
          <w:tcPr>
            <w:tcW w:w="2982" w:type="dxa"/>
            <w:vAlign w:val="center"/>
          </w:tcPr>
          <w:p w14:paraId="1356825C">
            <w:pPr>
              <w:pStyle w:val="7"/>
              <w:ind w:firstLine="480"/>
              <w:rPr>
                <w:color w:val="auto"/>
              </w:rPr>
            </w:pPr>
            <w:r>
              <w:rPr>
                <w:rFonts w:hint="eastAsia"/>
                <w:color w:val="auto"/>
              </w:rPr>
              <w:t>≦5%</w:t>
            </w:r>
          </w:p>
        </w:tc>
        <w:tc>
          <w:tcPr>
            <w:tcW w:w="2256" w:type="dxa"/>
            <w:vAlign w:val="center"/>
          </w:tcPr>
          <w:p w14:paraId="07237B9C">
            <w:pPr>
              <w:pStyle w:val="7"/>
              <w:ind w:firstLine="480"/>
              <w:rPr>
                <w:color w:val="auto"/>
              </w:rPr>
            </w:pPr>
          </w:p>
        </w:tc>
      </w:tr>
      <w:tr w14:paraId="05D8C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36" w:type="dxa"/>
            <w:vAlign w:val="center"/>
          </w:tcPr>
          <w:p w14:paraId="4920417E">
            <w:pPr>
              <w:pStyle w:val="7"/>
              <w:ind w:firstLine="480"/>
              <w:rPr>
                <w:color w:val="auto"/>
              </w:rPr>
            </w:pPr>
            <w:r>
              <w:rPr>
                <w:color w:val="auto"/>
              </w:rPr>
              <w:t>1</w:t>
            </w:r>
            <w:r>
              <w:rPr>
                <w:rFonts w:hint="eastAsia"/>
                <w:color w:val="auto"/>
              </w:rPr>
              <w:t>1</w:t>
            </w:r>
          </w:p>
        </w:tc>
        <w:tc>
          <w:tcPr>
            <w:tcW w:w="3554" w:type="dxa"/>
            <w:vAlign w:val="center"/>
          </w:tcPr>
          <w:p w14:paraId="70DCBE42">
            <w:pPr>
              <w:pStyle w:val="7"/>
              <w:ind w:firstLine="480"/>
              <w:rPr>
                <w:color w:val="auto"/>
              </w:rPr>
            </w:pPr>
            <w:r>
              <w:rPr>
                <w:rFonts w:hint="eastAsia"/>
                <w:color w:val="auto"/>
              </w:rPr>
              <w:t>防水防尘等级</w:t>
            </w:r>
          </w:p>
        </w:tc>
        <w:tc>
          <w:tcPr>
            <w:tcW w:w="2982" w:type="dxa"/>
            <w:vAlign w:val="center"/>
          </w:tcPr>
          <w:p w14:paraId="508E73B1">
            <w:pPr>
              <w:pStyle w:val="7"/>
              <w:ind w:firstLine="480"/>
              <w:rPr>
                <w:color w:val="auto"/>
              </w:rPr>
            </w:pPr>
            <w:r>
              <w:rPr>
                <w:color w:val="auto"/>
              </w:rPr>
              <w:t>电池箱体、高压箱体为</w:t>
            </w:r>
            <w:r>
              <w:rPr>
                <w:rFonts w:hint="eastAsia"/>
                <w:color w:val="auto"/>
              </w:rPr>
              <w:t>IP54,连接器为IP67</w:t>
            </w:r>
          </w:p>
        </w:tc>
        <w:tc>
          <w:tcPr>
            <w:tcW w:w="2256" w:type="dxa"/>
            <w:vAlign w:val="center"/>
          </w:tcPr>
          <w:p w14:paraId="4C579972">
            <w:pPr>
              <w:pStyle w:val="7"/>
              <w:ind w:firstLine="480"/>
              <w:rPr>
                <w:color w:val="auto"/>
              </w:rPr>
            </w:pPr>
          </w:p>
        </w:tc>
      </w:tr>
      <w:tr w14:paraId="28AE4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36" w:type="dxa"/>
            <w:vAlign w:val="center"/>
          </w:tcPr>
          <w:p w14:paraId="0D919B4E">
            <w:pPr>
              <w:pStyle w:val="7"/>
              <w:ind w:firstLine="480"/>
              <w:rPr>
                <w:color w:val="auto"/>
              </w:rPr>
            </w:pPr>
            <w:r>
              <w:rPr>
                <w:color w:val="auto"/>
              </w:rPr>
              <w:t>1</w:t>
            </w:r>
            <w:r>
              <w:rPr>
                <w:rFonts w:hint="eastAsia"/>
                <w:color w:val="auto"/>
              </w:rPr>
              <w:t>2</w:t>
            </w:r>
          </w:p>
        </w:tc>
        <w:tc>
          <w:tcPr>
            <w:tcW w:w="3554" w:type="dxa"/>
            <w:vAlign w:val="center"/>
          </w:tcPr>
          <w:p w14:paraId="788F98AA">
            <w:pPr>
              <w:pStyle w:val="7"/>
              <w:ind w:firstLine="480"/>
              <w:rPr>
                <w:color w:val="auto"/>
              </w:rPr>
            </w:pPr>
            <w:r>
              <w:rPr>
                <w:color w:val="auto"/>
              </w:rPr>
              <w:t>电池模组</w:t>
            </w:r>
          </w:p>
        </w:tc>
        <w:tc>
          <w:tcPr>
            <w:tcW w:w="2982" w:type="dxa"/>
            <w:vAlign w:val="center"/>
          </w:tcPr>
          <w:p w14:paraId="4CDF7628">
            <w:pPr>
              <w:pStyle w:val="7"/>
              <w:ind w:firstLine="480"/>
              <w:rPr>
                <w:color w:val="auto"/>
              </w:rPr>
            </w:pPr>
            <w:r>
              <w:rPr>
                <w:rFonts w:hint="eastAsia"/>
                <w:color w:val="auto"/>
              </w:rPr>
              <w:t>6组</w:t>
            </w:r>
          </w:p>
        </w:tc>
        <w:tc>
          <w:tcPr>
            <w:tcW w:w="2256" w:type="dxa"/>
            <w:vAlign w:val="center"/>
          </w:tcPr>
          <w:p w14:paraId="1DBE87E9">
            <w:pPr>
              <w:pStyle w:val="7"/>
              <w:ind w:firstLine="480"/>
              <w:rPr>
                <w:color w:val="auto"/>
              </w:rPr>
            </w:pPr>
          </w:p>
        </w:tc>
      </w:tr>
      <w:tr w14:paraId="05AF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936" w:type="dxa"/>
            <w:vAlign w:val="center"/>
          </w:tcPr>
          <w:p w14:paraId="0AFD871C">
            <w:pPr>
              <w:pStyle w:val="7"/>
              <w:ind w:firstLine="480"/>
              <w:rPr>
                <w:color w:val="auto"/>
              </w:rPr>
            </w:pPr>
            <w:r>
              <w:rPr>
                <w:rFonts w:hint="eastAsia"/>
                <w:color w:val="auto"/>
              </w:rPr>
              <w:t>13</w:t>
            </w:r>
          </w:p>
        </w:tc>
        <w:tc>
          <w:tcPr>
            <w:tcW w:w="3554" w:type="dxa"/>
            <w:vAlign w:val="center"/>
          </w:tcPr>
          <w:p w14:paraId="6617863D">
            <w:pPr>
              <w:pStyle w:val="7"/>
              <w:ind w:firstLine="480"/>
              <w:rPr>
                <w:color w:val="auto"/>
              </w:rPr>
            </w:pPr>
            <w:r>
              <w:rPr>
                <w:color w:val="auto"/>
              </w:rPr>
              <w:t>电池封装、电芯、管理系统</w:t>
            </w:r>
          </w:p>
        </w:tc>
        <w:tc>
          <w:tcPr>
            <w:tcW w:w="2982" w:type="dxa"/>
            <w:vAlign w:val="center"/>
          </w:tcPr>
          <w:p w14:paraId="32BA89A6">
            <w:pPr>
              <w:pStyle w:val="7"/>
              <w:ind w:firstLine="480"/>
              <w:rPr>
                <w:color w:val="auto"/>
              </w:rPr>
            </w:pPr>
            <w:r>
              <w:rPr>
                <w:color w:val="auto"/>
              </w:rPr>
              <w:t>与整车相兼容</w:t>
            </w:r>
          </w:p>
        </w:tc>
        <w:tc>
          <w:tcPr>
            <w:tcW w:w="2256" w:type="dxa"/>
            <w:vAlign w:val="center"/>
          </w:tcPr>
          <w:p w14:paraId="3FA8A061">
            <w:pPr>
              <w:pStyle w:val="7"/>
              <w:ind w:firstLine="480"/>
              <w:rPr>
                <w:color w:val="auto"/>
              </w:rPr>
            </w:pPr>
          </w:p>
        </w:tc>
      </w:tr>
      <w:tr w14:paraId="764F9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936" w:type="dxa"/>
            <w:vAlign w:val="center"/>
          </w:tcPr>
          <w:p w14:paraId="03343A8B">
            <w:pPr>
              <w:pStyle w:val="7"/>
              <w:ind w:firstLine="480"/>
              <w:rPr>
                <w:color w:val="auto"/>
              </w:rPr>
            </w:pPr>
            <w:r>
              <w:rPr>
                <w:rFonts w:hint="eastAsia"/>
                <w:color w:val="auto"/>
              </w:rPr>
              <w:t>14</w:t>
            </w:r>
          </w:p>
        </w:tc>
        <w:tc>
          <w:tcPr>
            <w:tcW w:w="3554" w:type="dxa"/>
            <w:vAlign w:val="center"/>
          </w:tcPr>
          <w:p w14:paraId="27D03488">
            <w:pPr>
              <w:pStyle w:val="7"/>
              <w:ind w:firstLine="480"/>
              <w:rPr>
                <w:color w:val="auto"/>
              </w:rPr>
            </w:pPr>
            <w:r>
              <w:rPr>
                <w:rFonts w:hint="eastAsia"/>
                <w:color w:val="auto"/>
              </w:rPr>
              <w:t>通讯协议</w:t>
            </w:r>
          </w:p>
        </w:tc>
        <w:tc>
          <w:tcPr>
            <w:tcW w:w="2982" w:type="dxa"/>
            <w:vAlign w:val="center"/>
          </w:tcPr>
          <w:p w14:paraId="15C82A97">
            <w:pPr>
              <w:pStyle w:val="7"/>
              <w:ind w:firstLine="480"/>
              <w:rPr>
                <w:color w:val="auto"/>
              </w:rPr>
            </w:pPr>
            <w:r>
              <w:rPr>
                <w:rFonts w:hint="eastAsia"/>
                <w:color w:val="auto"/>
              </w:rPr>
              <w:t>协议A</w:t>
            </w:r>
          </w:p>
        </w:tc>
        <w:tc>
          <w:tcPr>
            <w:tcW w:w="2256" w:type="dxa"/>
            <w:vAlign w:val="center"/>
          </w:tcPr>
          <w:p w14:paraId="2384C70A">
            <w:pPr>
              <w:pStyle w:val="7"/>
              <w:ind w:firstLine="480"/>
              <w:rPr>
                <w:color w:val="auto"/>
              </w:rPr>
            </w:pPr>
          </w:p>
        </w:tc>
      </w:tr>
      <w:tr w14:paraId="606A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936" w:type="dxa"/>
            <w:vAlign w:val="center"/>
          </w:tcPr>
          <w:p w14:paraId="26CA80B5">
            <w:pPr>
              <w:pStyle w:val="7"/>
              <w:ind w:firstLine="480"/>
              <w:rPr>
                <w:color w:val="auto"/>
              </w:rPr>
            </w:pPr>
            <w:r>
              <w:rPr>
                <w:rFonts w:hint="eastAsia"/>
                <w:color w:val="auto"/>
              </w:rPr>
              <w:t>15</w:t>
            </w:r>
          </w:p>
        </w:tc>
        <w:tc>
          <w:tcPr>
            <w:tcW w:w="3554" w:type="dxa"/>
            <w:vAlign w:val="center"/>
          </w:tcPr>
          <w:p w14:paraId="1ED3D520">
            <w:pPr>
              <w:pStyle w:val="7"/>
              <w:ind w:firstLine="480"/>
              <w:rPr>
                <w:color w:val="auto"/>
              </w:rPr>
            </w:pPr>
            <w:r>
              <w:rPr>
                <w:rFonts w:hint="eastAsia"/>
                <w:color w:val="auto"/>
              </w:rPr>
              <w:t>通讯方式</w:t>
            </w:r>
          </w:p>
        </w:tc>
        <w:tc>
          <w:tcPr>
            <w:tcW w:w="2982" w:type="dxa"/>
            <w:vAlign w:val="center"/>
          </w:tcPr>
          <w:p w14:paraId="4BE62BC2">
            <w:pPr>
              <w:pStyle w:val="7"/>
              <w:ind w:firstLine="480"/>
              <w:rPr>
                <w:color w:val="auto"/>
              </w:rPr>
            </w:pPr>
            <w:r>
              <w:rPr>
                <w:rFonts w:hint="eastAsia"/>
                <w:color w:val="auto"/>
              </w:rPr>
              <w:t>CAN通讯</w:t>
            </w:r>
          </w:p>
        </w:tc>
        <w:tc>
          <w:tcPr>
            <w:tcW w:w="2256" w:type="dxa"/>
            <w:vAlign w:val="center"/>
          </w:tcPr>
          <w:p w14:paraId="183BB7AC">
            <w:pPr>
              <w:pStyle w:val="7"/>
              <w:ind w:firstLine="480"/>
              <w:rPr>
                <w:color w:val="auto"/>
              </w:rPr>
            </w:pPr>
          </w:p>
        </w:tc>
      </w:tr>
      <w:tr w14:paraId="1336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trPr>
        <w:tc>
          <w:tcPr>
            <w:tcW w:w="936" w:type="dxa"/>
            <w:vAlign w:val="center"/>
          </w:tcPr>
          <w:p w14:paraId="5E521296">
            <w:pPr>
              <w:pStyle w:val="7"/>
              <w:ind w:firstLine="480"/>
              <w:rPr>
                <w:color w:val="auto"/>
              </w:rPr>
            </w:pPr>
            <w:r>
              <w:rPr>
                <w:rFonts w:hint="eastAsia"/>
                <w:color w:val="auto"/>
              </w:rPr>
              <w:t>16</w:t>
            </w:r>
          </w:p>
        </w:tc>
        <w:tc>
          <w:tcPr>
            <w:tcW w:w="3554" w:type="dxa"/>
            <w:vAlign w:val="center"/>
          </w:tcPr>
          <w:p w14:paraId="6A4E4222">
            <w:pPr>
              <w:pStyle w:val="7"/>
              <w:ind w:firstLine="480"/>
              <w:rPr>
                <w:color w:val="auto"/>
              </w:rPr>
            </w:pPr>
            <w:r>
              <w:rPr>
                <w:color w:val="auto"/>
              </w:rPr>
              <w:t>安全要求</w:t>
            </w:r>
          </w:p>
        </w:tc>
        <w:tc>
          <w:tcPr>
            <w:tcW w:w="2982" w:type="dxa"/>
            <w:vAlign w:val="center"/>
          </w:tcPr>
          <w:p w14:paraId="7FBB4F27">
            <w:pPr>
              <w:pStyle w:val="7"/>
              <w:ind w:firstLine="480"/>
              <w:rPr>
                <w:color w:val="auto"/>
              </w:rPr>
            </w:pPr>
            <w:r>
              <w:rPr>
                <w:color w:val="auto"/>
              </w:rPr>
              <w:t>必须符合（</w:t>
            </w:r>
            <w:r>
              <w:rPr>
                <w:rFonts w:hint="eastAsia"/>
                <w:color w:val="auto"/>
              </w:rPr>
              <w:t>GB38031-2020</w:t>
            </w:r>
            <w:r>
              <w:rPr>
                <w:color w:val="auto"/>
              </w:rPr>
              <w:t>）</w:t>
            </w:r>
            <w:r>
              <w:rPr>
                <w:rFonts w:hint="eastAsia"/>
                <w:color w:val="auto"/>
              </w:rPr>
              <w:t>《电动汽车用动力蓄电池安全要求》国家强制性标准</w:t>
            </w:r>
          </w:p>
        </w:tc>
        <w:tc>
          <w:tcPr>
            <w:tcW w:w="2256" w:type="dxa"/>
            <w:vAlign w:val="center"/>
          </w:tcPr>
          <w:p w14:paraId="633E5EBB">
            <w:pPr>
              <w:pStyle w:val="7"/>
              <w:ind w:firstLine="480"/>
              <w:rPr>
                <w:color w:val="auto"/>
              </w:rPr>
            </w:pPr>
          </w:p>
        </w:tc>
      </w:tr>
      <w:tr w14:paraId="18E80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936" w:type="dxa"/>
            <w:vAlign w:val="center"/>
          </w:tcPr>
          <w:p w14:paraId="73122DAE">
            <w:pPr>
              <w:pStyle w:val="7"/>
              <w:ind w:firstLine="480"/>
              <w:rPr>
                <w:color w:val="auto"/>
              </w:rPr>
            </w:pPr>
            <w:r>
              <w:rPr>
                <w:rFonts w:hint="eastAsia"/>
                <w:color w:val="auto"/>
              </w:rPr>
              <w:t>17</w:t>
            </w:r>
          </w:p>
        </w:tc>
        <w:tc>
          <w:tcPr>
            <w:tcW w:w="3554" w:type="dxa"/>
            <w:vAlign w:val="center"/>
          </w:tcPr>
          <w:p w14:paraId="46CBB002">
            <w:pPr>
              <w:pStyle w:val="7"/>
              <w:ind w:firstLine="480"/>
              <w:rPr>
                <w:color w:val="auto"/>
              </w:rPr>
            </w:pPr>
            <w:r>
              <w:rPr>
                <w:rFonts w:hint="eastAsia"/>
                <w:color w:val="auto"/>
              </w:rPr>
              <w:t>地方法规</w:t>
            </w:r>
          </w:p>
        </w:tc>
        <w:tc>
          <w:tcPr>
            <w:tcW w:w="2982" w:type="dxa"/>
            <w:vAlign w:val="center"/>
          </w:tcPr>
          <w:p w14:paraId="2ABA99B2">
            <w:pPr>
              <w:pStyle w:val="7"/>
              <w:ind w:firstLine="480"/>
              <w:rPr>
                <w:color w:val="auto"/>
              </w:rPr>
            </w:pPr>
            <w:r>
              <w:rPr>
                <w:rFonts w:hint="eastAsia"/>
                <w:color w:val="auto"/>
              </w:rPr>
              <w:t>无</w:t>
            </w:r>
          </w:p>
        </w:tc>
        <w:tc>
          <w:tcPr>
            <w:tcW w:w="2256" w:type="dxa"/>
            <w:vAlign w:val="center"/>
          </w:tcPr>
          <w:p w14:paraId="515B3339">
            <w:pPr>
              <w:pStyle w:val="7"/>
              <w:ind w:firstLine="480"/>
              <w:rPr>
                <w:color w:val="auto"/>
              </w:rPr>
            </w:pPr>
          </w:p>
        </w:tc>
      </w:tr>
    </w:tbl>
    <w:p w14:paraId="1B067348">
      <w:pPr>
        <w:pStyle w:val="10"/>
        <w:ind w:firstLine="240"/>
        <w:rPr>
          <w:color w:val="auto"/>
        </w:rPr>
      </w:pPr>
    </w:p>
    <w:p w14:paraId="6CF1EFBB">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（一）货物的生产、安装、维修、检验、验收等按照以下原则执行：有国家标准的执行国家标准；无国家标准的执行行业标准；无行业标准的执行地方标准；无地方标准的执行企业标准。</w:t>
      </w:r>
    </w:p>
    <w:p w14:paraId="0760677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如果在技术参数或配置中标明了品牌或产地，则仅供参考，并非指定，但投标人提供的货物必须满足主要技术参数及配置要求，投标人可以选用替代的方案，但这种替代整体上要优于或相当于招标文件的相关要求。</w:t>
      </w:r>
    </w:p>
    <w:p w14:paraId="7D5390D8">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供货时所有货物（包括零部件）须为全新的、未使用过的原装正品，并完全符合国家质量标准，提供厂家出具的合格证书、有国家强制性认证要求的产品须提供相应证书，货物的技术参数及配置情况必须由投标人提供国家相关检测机构出具的检验报告、制造商公开发布的印刷资料等技术资料予以支持。没有技术资料支持的技术参数及配置不能视为响应。</w:t>
      </w:r>
    </w:p>
    <w:p w14:paraId="1AA679D1">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（四）技术支持</w:t>
      </w:r>
    </w:p>
    <w:p w14:paraId="0C9E5FF8">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1.中标人应向采购人提供全方位、及时而有效持续的技术支持和服务。</w:t>
      </w:r>
    </w:p>
    <w:p w14:paraId="6A859497">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2.中标人负责供货、安装、调试。</w:t>
      </w:r>
    </w:p>
    <w:p w14:paraId="6492C5E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中标人负责将货物的全部有关技术文件（外文应提供中文翻译资料，下同）、施工图纸、资料、测试、验收报告等汇集成册交付采购人，涉及进口的产品或部件配件软件等须提供中国海关进口货物报关单、完税证明及商检证明等材料。</w:t>
      </w:r>
    </w:p>
    <w:p w14:paraId="20FD7A2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（五）质保及售后服务：</w:t>
      </w:r>
    </w:p>
    <w:p w14:paraId="128A5E7B">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产品主体质保5年或20万公里（先到为准），质保期内电池容量不低于总容量的80%。如果因产品本身质量问题，供应商负责维修，不能维修的免费更换新电池。所有质保费用均已包含在投标报价中，质保期满后，应提供优先的有偿售后服务及按不高于投标文件中主要配件、易损件清单所报价格供应原厂零配件等。</w:t>
      </w:r>
    </w:p>
    <w:p w14:paraId="017F3B20">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2.中标人须设有维修服务电话，负责解答用户在货物使用中遇到的问题，及时提出解决问题的建议和操作方法。</w:t>
      </w:r>
    </w:p>
    <w:p w14:paraId="4E99B984">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质量保证期内，如果证实货物是有缺陷的，包括潜在的缺陷或者使用不符合要求的材料等，中标人应立即免费维修或者更换有缺陷的货物或者部件，保证达到合同规定的技术以及性能要求。如果中标人在收到通知后5天内没有弥补缺陷，招标人可自行采取必要的补救措施，但风险和费用由中标人承担，招标人同时保留通过法律途径进行索赔的权利。</w:t>
      </w:r>
    </w:p>
    <w:p w14:paraId="61FA21F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4.中标人应提供及时周到的售后服务，应保证每季度至少一次上门回访、检修。</w:t>
      </w:r>
    </w:p>
    <w:p w14:paraId="5E82A15C">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5.售后服务响应时间：中标人在接招标人通知1小时做出响应，2小时内到达现场，24小时内维修完毕，不能在规定时间内修好的要免费提供备品（机）备件。</w:t>
      </w:r>
    </w:p>
    <w:p w14:paraId="2F790FF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6.中标人免费为招标人提供中文操作手册并培训操作人员，其中包括讲解产品的结构以及原理、产品的使用以及维护保养，直至操作人员能够独立的操作使用。</w:t>
      </w:r>
    </w:p>
    <w:p w14:paraId="693A902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（六）交货期: 本次15台宇通车电池换装工程在不影响采购方班次正常运行的情况下分为批次实施，合同签订首付款后30个日历天内投标人完成供货并安装、调试第一台车试车验收。其它14台车更换全套动力电池工程期应在25个日历天内完成试车并验收。</w:t>
      </w:r>
    </w:p>
    <w:p w14:paraId="3CF69B4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（七）交货地点：以采购人要求为准。中标人应负责所有货物的包装、运送、卸货、安装、调试等。</w:t>
      </w:r>
    </w:p>
    <w:p w14:paraId="3F320F22">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（八）验收：</w:t>
      </w:r>
    </w:p>
    <w:p w14:paraId="5D78DB12">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1.中标人必须在每期电池换装结束后，提供由中标人、厂家售后服务经理、客户三方共同签字的换装工程验收报告，凭此验收报告支付尾款。</w:t>
      </w:r>
    </w:p>
    <w:p w14:paraId="61DABDE1">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人和相关部门按照国家规定标准验收，没有国家标准的按行业标准验收，无行业标准的按地方或企业标准验收，中标人予以配合。涉及安全、消防、环保等其他需要由质检或行业主管部门验收的工程，采购人须约请相关部门和专家参加工程验收。</w:t>
      </w:r>
    </w:p>
    <w:p w14:paraId="7999D3A5">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货物在验收时，投标人应提供发票、制造厂家出具的产品合格证书、装箱清单等,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14:paraId="1DA3A328">
      <w:pPr>
        <w:pStyle w:val="10"/>
        <w:ind w:firstLine="240"/>
        <w:rPr>
          <w:color w:val="auto"/>
        </w:rPr>
        <w:sectPr>
          <w:footerReference r:id="rId3" w:type="default"/>
          <w:pgSz w:w="11906" w:h="16838"/>
          <w:pgMar w:top="1440" w:right="1134" w:bottom="1440" w:left="1134" w:header="851" w:footer="992" w:gutter="0"/>
          <w:pgNumType w:fmt="decimal"/>
          <w:cols w:space="425" w:num="1"/>
          <w:docGrid w:type="lines" w:linePitch="312" w:charSpace="0"/>
        </w:sectPr>
      </w:pPr>
    </w:p>
    <w:p w14:paraId="452D52E9">
      <w:pPr>
        <w:spacing w:line="400" w:lineRule="exact"/>
        <w:ind w:firstLine="463" w:firstLineChars="192"/>
        <w:rPr>
          <w:rFonts w:ascii="宋体" w:hAnsi="宋体" w:eastAsia="宋体"/>
          <w:b/>
          <w:bCs/>
          <w:color w:val="auto"/>
          <w:sz w:val="24"/>
          <w:szCs w:val="18"/>
        </w:rPr>
      </w:pPr>
      <w:bookmarkStart w:id="56" w:name="_Toc4843"/>
      <w:bookmarkStart w:id="57" w:name="_Toc7421"/>
    </w:p>
    <w:p w14:paraId="384E655A">
      <w:pPr>
        <w:spacing w:line="360" w:lineRule="auto"/>
        <w:ind w:firstLine="482"/>
        <w:outlineLvl w:val="1"/>
        <w:rPr>
          <w:rFonts w:ascii="宋体" w:hAnsi="宋体" w:eastAsia="宋体"/>
          <w:b/>
          <w:bCs/>
          <w:color w:val="auto"/>
          <w:sz w:val="24"/>
          <w:szCs w:val="18"/>
        </w:rPr>
      </w:pPr>
      <w:r>
        <w:rPr>
          <w:rFonts w:hint="eastAsia" w:ascii="宋体" w:hAnsi="宋体" w:eastAsia="宋体"/>
          <w:b/>
          <w:bCs/>
          <w:color w:val="auto"/>
          <w:sz w:val="24"/>
          <w:szCs w:val="18"/>
        </w:rPr>
        <w:t>三、报价要求</w:t>
      </w:r>
      <w:bookmarkEnd w:id="56"/>
      <w:bookmarkEnd w:id="57"/>
    </w:p>
    <w:p w14:paraId="6668A936">
      <w:pPr>
        <w:spacing w:line="40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投标报价文件中的单价和总价全部采用人民币表示。投标人的报价应含有服务（货物）、所有辅材、安装、利润、税金、政策性文件规定及合同包含的所有风险、责任、义务等，即为完成招标文件要求的服务（货物）内容所包含的一切应有费用，中标价格今后将不作任何调整，采购人后期不再追加费用，投标投标人自行考虑投标风险。</w:t>
      </w:r>
    </w:p>
    <w:p w14:paraId="67325B41">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2.分项报价清单上应清楚地标明投标人拟提供货物的名称、型号、生产厂家、数量、单价和总价。</w:t>
      </w:r>
    </w:p>
    <w:p w14:paraId="011BC14C">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3.投标人只允许有一个方案、一个报价。</w:t>
      </w:r>
    </w:p>
    <w:p w14:paraId="05E872EB">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投标人应按“采购需求及技术参数要求”所列货物逐项进行单价报价，并最终按货物总量乘以货物单价报总价，不得采用总价下浮的方式进行报价。单价包括国家对中标单位征收的各种税费等所有一切费用，单价今后将不作任何调整。投标人应当保持单项价格的合理性，严禁出现不平衡报价的情况，项目采购结束后，采购人有权对各单项价格进行核查，对于严重超过市场价格的单价，将在正式合同中明确：对于认定为不平衡报价的单项，如果发生数量变动，将按照有利于甲方的单价进行认价。</w:t>
      </w:r>
    </w:p>
    <w:p w14:paraId="59266C8C">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5.投标报价的价格是完成项目全部内容的价格，其总价即为履行合同的固定总价。</w:t>
      </w:r>
    </w:p>
    <w:p w14:paraId="023931EA">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6.技术要求中规定的安装、调试和培训费用应包括在投标价格中。投标文件报价为含税价，采购人不再为此次招标支付任何费用。</w:t>
      </w:r>
    </w:p>
    <w:p w14:paraId="1AC5A8F6">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7.投标报价应由法定代表人或被授权人签署。</w:t>
      </w:r>
    </w:p>
    <w:p w14:paraId="466DE036">
      <w:pPr>
        <w:spacing w:line="440" w:lineRule="exact"/>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8.投标人的报价不得高于本次招标最高限价</w:t>
      </w:r>
      <w:r>
        <w:rPr>
          <w:rFonts w:hint="eastAsia" w:ascii="宋体" w:hAnsi="宋体" w:eastAsia="宋体" w:cs="宋体"/>
          <w:b/>
          <w:color w:val="auto"/>
          <w:sz w:val="24"/>
          <w:szCs w:val="24"/>
        </w:rPr>
        <w:t>，</w:t>
      </w:r>
      <w:r>
        <w:rPr>
          <w:rFonts w:hint="eastAsia" w:ascii="宋体" w:hAnsi="宋体" w:eastAsia="宋体" w:cs="宋体"/>
          <w:b/>
          <w:bCs/>
          <w:color w:val="auto"/>
          <w:sz w:val="24"/>
          <w:szCs w:val="24"/>
        </w:rPr>
        <w:t>否则将作为无效投标处理。</w:t>
      </w:r>
    </w:p>
    <w:p w14:paraId="472B855E">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9.如投标文件中未列明全面实现投标货物功能而必须配置的配套或辅助设施及相应技术措施的费用，这些费用将被视为已包含在总投标价中。</w:t>
      </w:r>
    </w:p>
    <w:p w14:paraId="37820B2F">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10.投标价中不得包含招标文件要求以外的内容，否则，在评标时不予核减，但在授予合同时，采购人有权将这部分价格从其中标价格中扣除。</w:t>
      </w:r>
    </w:p>
    <w:p w14:paraId="157EB546">
      <w:pPr>
        <w:spacing w:line="44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1F0997EA">
      <w:pPr>
        <w:spacing w:line="44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12.投标人不得对从第三方采购货物的随机备品、备件另行收费，否则在计算评标价时这部分费用将不予扣除，在授予合同时将从中标价格中扣除该部分费用。</w:t>
      </w:r>
    </w:p>
    <w:p w14:paraId="39CBD270">
      <w:pPr>
        <w:spacing w:line="440" w:lineRule="exact"/>
        <w:ind w:firstLine="460" w:firstLineChars="192"/>
        <w:rPr>
          <w:rFonts w:ascii="宋体" w:hAnsi="宋体" w:eastAsia="宋体" w:cs="宋体"/>
          <w:bCs/>
          <w:color w:val="auto"/>
          <w:sz w:val="24"/>
          <w:szCs w:val="24"/>
        </w:rPr>
      </w:pPr>
      <w:r>
        <w:rPr>
          <w:rFonts w:hint="eastAsia" w:ascii="宋体" w:hAnsi="宋体" w:eastAsia="宋体" w:cs="宋体"/>
          <w:color w:val="auto"/>
          <w:sz w:val="24"/>
          <w:szCs w:val="24"/>
        </w:rPr>
        <w:t>13.投标人应根据货物（服务）的状况列出随机备品备件的清单和数量，并将该备品备件价格计入总投标价，若所提供的产品无需备件，则应在投标文件中说明；无论投标人在报价中列明随机备品备件的数量及价格多少，在质保期内采购人均无需为维护维修保养所需的专用工具和备品备件另行支付费用。</w:t>
      </w:r>
    </w:p>
    <w:p w14:paraId="7F96056C">
      <w:pPr>
        <w:spacing w:beforeLines="50" w:afterLines="50" w:line="440" w:lineRule="exact"/>
        <w:ind w:firstLine="562" w:firstLineChars="200"/>
        <w:jc w:val="center"/>
        <w:outlineLvl w:val="2"/>
        <w:rPr>
          <w:rFonts w:ascii="宋体" w:hAnsi="宋体" w:cs="宋体"/>
          <w:b/>
          <w:color w:val="auto"/>
          <w:sz w:val="28"/>
          <w:szCs w:val="28"/>
        </w:rPr>
      </w:pPr>
    </w:p>
    <w:p w14:paraId="42297C8E">
      <w:pPr>
        <w:spacing w:line="360" w:lineRule="auto"/>
        <w:ind w:firstLine="482"/>
        <w:outlineLvl w:val="1"/>
        <w:rPr>
          <w:rFonts w:ascii="宋体" w:hAnsi="宋体" w:eastAsia="宋体"/>
          <w:b/>
          <w:bCs/>
          <w:color w:val="auto"/>
          <w:sz w:val="24"/>
          <w:szCs w:val="18"/>
        </w:rPr>
      </w:pPr>
    </w:p>
    <w:p w14:paraId="6F792B3F">
      <w:pPr>
        <w:spacing w:line="360" w:lineRule="auto"/>
        <w:ind w:firstLine="480" w:firstLineChars="200"/>
        <w:rPr>
          <w:rFonts w:asciiTheme="minorEastAsia" w:hAnsiTheme="minorEastAsia" w:eastAsiaTheme="minorEastAsia"/>
          <w:color w:val="auto"/>
          <w:sz w:val="24"/>
        </w:rPr>
      </w:pPr>
      <w:r>
        <w:rPr>
          <w:rFonts w:asciiTheme="minorEastAsia" w:hAnsiTheme="minorEastAsia" w:eastAsiaTheme="minorEastAsia"/>
          <w:color w:val="auto"/>
          <w:sz w:val="24"/>
        </w:rPr>
        <w:br w:type="page"/>
      </w:r>
    </w:p>
    <w:p w14:paraId="250CF3CC">
      <w:pPr>
        <w:spacing w:line="360" w:lineRule="auto"/>
        <w:ind w:firstLine="562"/>
        <w:jc w:val="center"/>
        <w:outlineLvl w:val="0"/>
        <w:rPr>
          <w:rFonts w:asciiTheme="minorEastAsia" w:hAnsiTheme="minorEastAsia" w:eastAsiaTheme="minorEastAsia"/>
          <w:b/>
          <w:color w:val="auto"/>
          <w:sz w:val="28"/>
        </w:rPr>
      </w:pPr>
      <w:bookmarkStart w:id="58" w:name="_Toc16417"/>
      <w:r>
        <w:rPr>
          <w:rFonts w:hint="eastAsia" w:asciiTheme="minorEastAsia" w:hAnsiTheme="minorEastAsia" w:eastAsiaTheme="minorEastAsia"/>
          <w:b/>
          <w:color w:val="auto"/>
          <w:sz w:val="28"/>
        </w:rPr>
        <w:t>第四章  评标方法和标准（综合评分法）</w:t>
      </w:r>
      <w:bookmarkEnd w:id="58"/>
    </w:p>
    <w:p w14:paraId="2ED22D9C">
      <w:pPr>
        <w:spacing w:line="360" w:lineRule="auto"/>
        <w:ind w:firstLine="482"/>
        <w:outlineLvl w:val="1"/>
        <w:rPr>
          <w:rFonts w:asciiTheme="minorEastAsia" w:hAnsiTheme="minorEastAsia" w:eastAsiaTheme="minorEastAsia"/>
          <w:b/>
          <w:color w:val="auto"/>
          <w:sz w:val="24"/>
        </w:rPr>
      </w:pPr>
      <w:bookmarkStart w:id="59" w:name="_Toc1246"/>
      <w:bookmarkStart w:id="60" w:name="_Toc11823"/>
      <w:r>
        <w:rPr>
          <w:rFonts w:hint="eastAsia" w:asciiTheme="minorEastAsia" w:hAnsiTheme="minorEastAsia" w:eastAsiaTheme="minorEastAsia"/>
          <w:b/>
          <w:color w:val="auto"/>
          <w:sz w:val="24"/>
        </w:rPr>
        <w:t>一、总则</w:t>
      </w:r>
      <w:bookmarkEnd w:id="59"/>
      <w:bookmarkEnd w:id="60"/>
    </w:p>
    <w:p w14:paraId="7D3E728B">
      <w:pPr>
        <w:numPr>
          <w:ilvl w:val="0"/>
          <w:numId w:val="4"/>
        </w:numPr>
        <w:spacing w:line="360" w:lineRule="auto"/>
        <w:ind w:firstLine="482"/>
        <w:outlineLvl w:val="1"/>
        <w:rPr>
          <w:rFonts w:asciiTheme="minorEastAsia" w:hAnsiTheme="minorEastAsia" w:eastAsiaTheme="minorEastAsia"/>
          <w:b/>
          <w:color w:val="auto"/>
          <w:sz w:val="24"/>
        </w:rPr>
      </w:pPr>
      <w:bookmarkStart w:id="61" w:name="_Toc31871"/>
      <w:bookmarkStart w:id="62" w:name="_Toc13117"/>
      <w:r>
        <w:rPr>
          <w:rFonts w:hint="eastAsia" w:asciiTheme="minorEastAsia" w:hAnsiTheme="minorEastAsia" w:eastAsiaTheme="minorEastAsia"/>
          <w:b/>
          <w:color w:val="auto"/>
          <w:sz w:val="24"/>
        </w:rPr>
        <w:t>评标方法</w:t>
      </w:r>
      <w:bookmarkEnd w:id="61"/>
      <w:bookmarkEnd w:id="62"/>
    </w:p>
    <w:p w14:paraId="73C7BD65">
      <w:pPr>
        <w:ind w:firstLine="562"/>
        <w:rPr>
          <w:rFonts w:asciiTheme="minorEastAsia" w:hAnsiTheme="minorEastAsia" w:eastAsiaTheme="minorEastAsia"/>
          <w:color w:val="auto"/>
          <w:sz w:val="24"/>
        </w:rPr>
      </w:pPr>
      <w:r>
        <w:rPr>
          <w:rFonts w:hint="eastAsia"/>
          <w:b/>
          <w:bCs/>
          <w:color w:val="auto"/>
          <w:sz w:val="28"/>
          <w:szCs w:val="28"/>
        </w:rPr>
        <w:t>1.</w:t>
      </w:r>
      <w:r>
        <w:rPr>
          <w:rFonts w:hint="eastAsia" w:asciiTheme="minorEastAsia" w:hAnsiTheme="minorEastAsia" w:eastAsiaTheme="minorEastAsia"/>
          <w:color w:val="auto"/>
          <w:sz w:val="24"/>
        </w:rPr>
        <w:t>资信标评审细则（29分）</w:t>
      </w:r>
    </w:p>
    <w:tbl>
      <w:tblPr>
        <w:tblStyle w:val="25"/>
        <w:tblpPr w:leftFromText="180" w:rightFromText="180" w:vertAnchor="text" w:horzAnchor="page" w:tblpX="655" w:tblpY="390"/>
        <w:tblOverlap w:val="never"/>
        <w:tblW w:w="64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398"/>
        <w:gridCol w:w="875"/>
        <w:gridCol w:w="6445"/>
        <w:gridCol w:w="1483"/>
      </w:tblGrid>
      <w:tr w14:paraId="5BB6C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355" w:type="pct"/>
            <w:vAlign w:val="center"/>
          </w:tcPr>
          <w:p w14:paraId="26FEA245">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序号</w:t>
            </w:r>
          </w:p>
        </w:tc>
        <w:tc>
          <w:tcPr>
            <w:tcW w:w="636" w:type="pct"/>
            <w:vAlign w:val="center"/>
          </w:tcPr>
          <w:p w14:paraId="72A20F45">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评分因素</w:t>
            </w:r>
          </w:p>
        </w:tc>
        <w:tc>
          <w:tcPr>
            <w:tcW w:w="398" w:type="pct"/>
            <w:vAlign w:val="center"/>
          </w:tcPr>
          <w:p w14:paraId="6004FBA3">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分值</w:t>
            </w:r>
          </w:p>
        </w:tc>
        <w:tc>
          <w:tcPr>
            <w:tcW w:w="2933" w:type="pct"/>
            <w:vAlign w:val="center"/>
          </w:tcPr>
          <w:p w14:paraId="7AAC2C8B">
            <w:pPr>
              <w:spacing w:line="500" w:lineRule="exact"/>
              <w:ind w:firstLine="1980" w:firstLineChars="900"/>
              <w:jc w:val="both"/>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具体内容及评分标准</w:t>
            </w:r>
          </w:p>
        </w:tc>
        <w:tc>
          <w:tcPr>
            <w:tcW w:w="675" w:type="pct"/>
            <w:vAlign w:val="center"/>
          </w:tcPr>
          <w:p w14:paraId="1612CB58">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须提供的证明材料</w:t>
            </w:r>
          </w:p>
        </w:tc>
      </w:tr>
      <w:tr w14:paraId="5381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355" w:type="pct"/>
            <w:vAlign w:val="center"/>
          </w:tcPr>
          <w:p w14:paraId="30FE8BD3">
            <w:pPr>
              <w:spacing w:line="500" w:lineRule="exact"/>
              <w:ind w:firstLine="44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w:t>
            </w:r>
          </w:p>
        </w:tc>
        <w:tc>
          <w:tcPr>
            <w:tcW w:w="636" w:type="pct"/>
            <w:vAlign w:val="center"/>
          </w:tcPr>
          <w:p w14:paraId="6B4FED1C">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企业资信与认证</w:t>
            </w:r>
          </w:p>
        </w:tc>
        <w:tc>
          <w:tcPr>
            <w:tcW w:w="398" w:type="pct"/>
            <w:vAlign w:val="center"/>
          </w:tcPr>
          <w:p w14:paraId="4D90D143">
            <w:pPr>
              <w:spacing w:line="500" w:lineRule="exact"/>
              <w:jc w:val="both"/>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bidi="zh-CN"/>
              </w:rPr>
              <w:t>8</w:t>
            </w:r>
            <w:r>
              <w:rPr>
                <w:rFonts w:hint="eastAsia" w:ascii="宋体" w:hAnsi="宋体" w:eastAsia="宋体" w:cs="宋体"/>
                <w:color w:val="auto"/>
                <w:sz w:val="22"/>
                <w:szCs w:val="22"/>
                <w:lang w:val="zh-CN" w:bidi="zh-CN"/>
              </w:rPr>
              <w:t>分</w:t>
            </w:r>
          </w:p>
        </w:tc>
        <w:tc>
          <w:tcPr>
            <w:tcW w:w="2933" w:type="pct"/>
          </w:tcPr>
          <w:p w14:paraId="522C94A4">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一、企业认证（8分）</w:t>
            </w:r>
          </w:p>
          <w:p w14:paraId="68222158">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1.投标产品具有有效的TS16949汽车行业质量管理体系认证证书的得2分；</w:t>
            </w:r>
          </w:p>
          <w:p w14:paraId="01D447DF">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2.投标产品企业具有有效的ISO50001能源管理体系认证的得2分；</w:t>
            </w:r>
          </w:p>
          <w:p w14:paraId="22E329CE">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3.投标产品企业具有有效的ISO14001环境管理体系认证的得2分；</w:t>
            </w:r>
          </w:p>
          <w:p w14:paraId="7AB57133">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4.投标产品企业具有有效的一般工业固废处理服务企业资质证书证件，投标人提供有效承诺书，提供有效承诺书的得2分；未提供承诺书或提供无效的承诺书视为违约。</w:t>
            </w:r>
          </w:p>
          <w:p w14:paraId="0B05D5A4">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注：以上1.2.3条须提供证书原件扫描件，不提供不得分。</w:t>
            </w:r>
          </w:p>
        </w:tc>
        <w:tc>
          <w:tcPr>
            <w:tcW w:w="675" w:type="pct"/>
            <w:vAlign w:val="center"/>
          </w:tcPr>
          <w:p w14:paraId="3E2CECAA">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评审时核验电子标书中有效证明材料扫描件</w:t>
            </w:r>
          </w:p>
        </w:tc>
      </w:tr>
    </w:tbl>
    <w:tbl>
      <w:tblPr>
        <w:tblStyle w:val="26"/>
        <w:tblW w:w="10995" w:type="dxa"/>
        <w:tblInd w:w="-1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395"/>
        <w:gridCol w:w="855"/>
        <w:gridCol w:w="6465"/>
        <w:gridCol w:w="1470"/>
      </w:tblGrid>
      <w:tr w14:paraId="05D9D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atLeast"/>
        </w:trPr>
        <w:tc>
          <w:tcPr>
            <w:tcW w:w="810" w:type="dxa"/>
          </w:tcPr>
          <w:p w14:paraId="278663E9">
            <w:pPr>
              <w:spacing w:line="500" w:lineRule="exact"/>
              <w:ind w:firstLine="442"/>
              <w:textAlignment w:val="center"/>
              <w:rPr>
                <w:rFonts w:asciiTheme="minorEastAsia" w:hAnsiTheme="minorEastAsia" w:eastAsiaTheme="minorEastAsia" w:cstheme="minorEastAsia"/>
                <w:b/>
                <w:bCs/>
                <w:color w:val="auto"/>
                <w:sz w:val="22"/>
                <w:szCs w:val="22"/>
              </w:rPr>
            </w:pPr>
          </w:p>
          <w:p w14:paraId="60BC89A3">
            <w:pPr>
              <w:spacing w:line="500" w:lineRule="exact"/>
              <w:ind w:firstLine="442"/>
              <w:textAlignment w:val="center"/>
              <w:rPr>
                <w:rFonts w:asciiTheme="minorEastAsia" w:hAnsiTheme="minorEastAsia" w:eastAsiaTheme="minorEastAsia" w:cstheme="minorEastAsia"/>
                <w:b/>
                <w:bCs/>
                <w:color w:val="auto"/>
                <w:sz w:val="22"/>
                <w:szCs w:val="22"/>
              </w:rPr>
            </w:pPr>
          </w:p>
          <w:p w14:paraId="465277AF">
            <w:pPr>
              <w:spacing w:line="500" w:lineRule="exact"/>
              <w:ind w:firstLine="442"/>
              <w:textAlignment w:val="center"/>
              <w:rPr>
                <w:rFonts w:asciiTheme="minorEastAsia" w:hAnsiTheme="minorEastAsia" w:eastAsiaTheme="minorEastAsia" w:cstheme="minorEastAsia"/>
                <w:b/>
                <w:bCs/>
                <w:color w:val="auto"/>
                <w:sz w:val="22"/>
                <w:szCs w:val="22"/>
              </w:rPr>
            </w:pPr>
          </w:p>
          <w:p w14:paraId="57A5DAAF">
            <w:pPr>
              <w:spacing w:line="500" w:lineRule="exact"/>
              <w:ind w:firstLine="442"/>
              <w:textAlignment w:val="center"/>
              <w:rPr>
                <w:rFonts w:asciiTheme="minorEastAsia" w:hAnsiTheme="minorEastAsia" w:eastAsiaTheme="minorEastAsia" w:cstheme="minorEastAsia"/>
                <w:b/>
                <w:bCs/>
                <w:color w:val="auto"/>
                <w:sz w:val="22"/>
                <w:szCs w:val="22"/>
              </w:rPr>
            </w:pPr>
          </w:p>
          <w:p w14:paraId="7435C3C6">
            <w:pPr>
              <w:spacing w:line="500" w:lineRule="exact"/>
              <w:ind w:firstLine="442"/>
              <w:textAlignment w:val="center"/>
              <w:rPr>
                <w:rFonts w:asciiTheme="minorEastAsia" w:hAnsiTheme="minorEastAsia" w:eastAsiaTheme="minorEastAsia" w:cstheme="minorEastAsia"/>
                <w:b/>
                <w:bCs/>
                <w:color w:val="auto"/>
                <w:sz w:val="22"/>
                <w:szCs w:val="22"/>
              </w:rPr>
            </w:pPr>
          </w:p>
        </w:tc>
        <w:tc>
          <w:tcPr>
            <w:tcW w:w="1395" w:type="dxa"/>
          </w:tcPr>
          <w:p w14:paraId="11C36361">
            <w:pPr>
              <w:spacing w:line="500" w:lineRule="exact"/>
              <w:ind w:firstLine="442"/>
              <w:textAlignment w:val="center"/>
              <w:rPr>
                <w:rFonts w:asciiTheme="minorEastAsia" w:hAnsiTheme="minorEastAsia" w:eastAsiaTheme="minorEastAsia" w:cstheme="minorEastAsia"/>
                <w:b/>
                <w:bCs/>
                <w:color w:val="auto"/>
                <w:sz w:val="22"/>
                <w:szCs w:val="22"/>
              </w:rPr>
            </w:pPr>
          </w:p>
          <w:p w14:paraId="740BC83F">
            <w:pPr>
              <w:spacing w:line="500" w:lineRule="exact"/>
              <w:textAlignment w:val="center"/>
              <w:rPr>
                <w:rFonts w:asciiTheme="minorEastAsia" w:hAnsiTheme="minorEastAsia" w:eastAsiaTheme="minorEastAsia" w:cstheme="minorEastAsia"/>
                <w:b/>
                <w:bCs/>
                <w:color w:val="auto"/>
                <w:sz w:val="22"/>
                <w:szCs w:val="22"/>
              </w:rPr>
            </w:pPr>
          </w:p>
          <w:p w14:paraId="132D31ED">
            <w:pPr>
              <w:spacing w:line="500" w:lineRule="exact"/>
              <w:textAlignment w:val="center"/>
              <w:rPr>
                <w:rFonts w:asciiTheme="minorEastAsia" w:hAnsiTheme="minorEastAsia" w:eastAsiaTheme="minorEastAsia" w:cstheme="minorEastAsia"/>
                <w:b w:val="0"/>
                <w:bCs w:val="0"/>
                <w:color w:val="auto"/>
                <w:sz w:val="22"/>
                <w:szCs w:val="22"/>
              </w:rPr>
            </w:pPr>
            <w:r>
              <w:rPr>
                <w:rFonts w:asciiTheme="minorEastAsia" w:hAnsiTheme="minorEastAsia" w:eastAsiaTheme="minorEastAsia" w:cstheme="minorEastAsia"/>
                <w:b w:val="0"/>
                <w:bCs w:val="0"/>
                <w:color w:val="auto"/>
                <w:sz w:val="22"/>
                <w:szCs w:val="22"/>
              </w:rPr>
              <w:t>投标人</w:t>
            </w:r>
          </w:p>
          <w:p w14:paraId="285181A6">
            <w:pPr>
              <w:ind w:firstLine="440"/>
              <w:rPr>
                <w:rFonts w:asciiTheme="minorEastAsia" w:hAnsiTheme="minorEastAsia" w:eastAsiaTheme="minorEastAsia" w:cstheme="minorEastAsia"/>
                <w:color w:val="auto"/>
                <w:sz w:val="22"/>
                <w:szCs w:val="22"/>
              </w:rPr>
            </w:pPr>
          </w:p>
          <w:p w14:paraId="367BF50D">
            <w:pPr>
              <w:ind w:firstLine="440"/>
              <w:rPr>
                <w:rFonts w:asciiTheme="minorEastAsia" w:hAnsiTheme="minorEastAsia" w:eastAsiaTheme="minorEastAsia" w:cstheme="minorEastAsia"/>
                <w:color w:val="auto"/>
                <w:sz w:val="22"/>
                <w:szCs w:val="22"/>
              </w:rPr>
            </w:pPr>
          </w:p>
          <w:p w14:paraId="1FA216B2">
            <w:pPr>
              <w:ind w:firstLine="440"/>
              <w:rPr>
                <w:rFonts w:asciiTheme="minorEastAsia" w:hAnsiTheme="minorEastAsia" w:eastAsiaTheme="minorEastAsia" w:cstheme="minorEastAsia"/>
                <w:color w:val="auto"/>
                <w:sz w:val="22"/>
                <w:szCs w:val="22"/>
              </w:rPr>
            </w:pPr>
          </w:p>
          <w:p w14:paraId="676781A4">
            <w:pPr>
              <w:ind w:firstLine="440"/>
              <w:rPr>
                <w:rFonts w:asciiTheme="minorEastAsia" w:hAnsiTheme="minorEastAsia" w:eastAsiaTheme="minorEastAsia" w:cstheme="minorEastAsia"/>
                <w:color w:val="auto"/>
                <w:sz w:val="22"/>
                <w:szCs w:val="22"/>
              </w:rPr>
            </w:pPr>
          </w:p>
        </w:tc>
        <w:tc>
          <w:tcPr>
            <w:tcW w:w="855" w:type="dxa"/>
            <w:vAlign w:val="center"/>
          </w:tcPr>
          <w:p w14:paraId="1A95C96F">
            <w:pPr>
              <w:spacing w:line="500" w:lineRule="exact"/>
              <w:jc w:val="both"/>
              <w:textAlignment w:val="center"/>
              <w:rPr>
                <w:rFonts w:asciiTheme="minorEastAsia" w:hAnsiTheme="minorEastAsia" w:eastAsiaTheme="minorEastAsia" w:cstheme="minorEastAsia"/>
                <w:b/>
                <w:bCs/>
                <w:color w:val="auto"/>
                <w:sz w:val="22"/>
                <w:szCs w:val="22"/>
              </w:rPr>
            </w:pPr>
            <w:r>
              <w:rPr>
                <w:rFonts w:hint="eastAsia" w:ascii="宋体" w:hAnsi="宋体" w:eastAsia="宋体" w:cs="宋体"/>
                <w:color w:val="auto"/>
                <w:sz w:val="22"/>
                <w:szCs w:val="22"/>
                <w:lang w:bidi="zh-CN"/>
              </w:rPr>
              <w:t>4</w:t>
            </w:r>
            <w:r>
              <w:rPr>
                <w:rFonts w:hint="eastAsia" w:ascii="宋体" w:hAnsi="宋体" w:eastAsia="宋体" w:cs="宋体"/>
                <w:color w:val="auto"/>
                <w:sz w:val="22"/>
                <w:szCs w:val="22"/>
                <w:lang w:val="zh-CN" w:bidi="zh-CN"/>
              </w:rPr>
              <w:t>分</w:t>
            </w:r>
          </w:p>
        </w:tc>
        <w:tc>
          <w:tcPr>
            <w:tcW w:w="6465" w:type="dxa"/>
          </w:tcPr>
          <w:p w14:paraId="2E0DBCEC">
            <w:pPr>
              <w:spacing w:line="500" w:lineRule="exact"/>
              <w:ind w:firstLine="442"/>
              <w:textAlignment w:val="center"/>
              <w:rPr>
                <w:rFonts w:hint="eastAsia" w:asciiTheme="minorEastAsia" w:hAnsiTheme="minorEastAsia" w:eastAsiaTheme="minorEastAsia" w:cstheme="minorEastAsia"/>
                <w:b/>
                <w:bCs/>
                <w:color w:val="auto"/>
                <w:sz w:val="22"/>
                <w:szCs w:val="22"/>
                <w:shd w:val="clear" w:color="auto" w:fill="FFFFFF"/>
              </w:rPr>
            </w:pPr>
          </w:p>
          <w:p w14:paraId="151555AA">
            <w:pPr>
              <w:spacing w:line="500" w:lineRule="exact"/>
              <w:ind w:firstLine="442"/>
              <w:textAlignment w:val="center"/>
              <w:rPr>
                <w:rFonts w:asciiTheme="minorEastAsia" w:hAnsiTheme="minorEastAsia" w:eastAsiaTheme="minorEastAsia" w:cstheme="minorEastAsia"/>
                <w:b/>
                <w:bCs/>
                <w:color w:val="auto"/>
                <w:sz w:val="22"/>
                <w:szCs w:val="22"/>
                <w:shd w:val="clear" w:color="auto" w:fill="FFFFFF"/>
              </w:rPr>
            </w:pPr>
            <w:r>
              <w:rPr>
                <w:rFonts w:hint="eastAsia" w:asciiTheme="minorEastAsia" w:hAnsiTheme="minorEastAsia" w:eastAsiaTheme="minorEastAsia" w:cstheme="minorEastAsia"/>
                <w:b/>
                <w:bCs/>
                <w:color w:val="auto"/>
                <w:sz w:val="22"/>
                <w:szCs w:val="22"/>
                <w:shd w:val="clear" w:color="auto" w:fill="FFFFFF"/>
              </w:rPr>
              <w:t>二、投标人综合评比及整车安全系数（4分）</w:t>
            </w:r>
          </w:p>
          <w:p w14:paraId="433666FA">
            <w:pPr>
              <w:pStyle w:val="71"/>
              <w:rPr>
                <w:rFonts w:hint="eastAsia" w:asciiTheme="minorEastAsia" w:hAnsiTheme="minorEastAsia" w:eastAsiaTheme="minorEastAsia" w:cstheme="minorEastAsia"/>
                <w:color w:val="auto"/>
                <w:kern w:val="2"/>
                <w:sz w:val="22"/>
                <w:szCs w:val="22"/>
                <w:lang w:val="en-US" w:eastAsia="zh-CN" w:bidi="ar-SA"/>
              </w:rPr>
            </w:pPr>
            <w:r>
              <w:rPr>
                <w:rFonts w:hint="eastAsia" w:asciiTheme="minorEastAsia" w:hAnsiTheme="minorEastAsia" w:eastAsiaTheme="minorEastAsia" w:cstheme="minorEastAsia"/>
                <w:color w:val="auto"/>
                <w:kern w:val="2"/>
                <w:sz w:val="22"/>
                <w:szCs w:val="22"/>
                <w:lang w:val="en-US" w:eastAsia="zh-CN" w:bidi="ar-SA"/>
              </w:rPr>
              <w:t>由评标委员会对投标方进行综合生产力以及市场产品使用率等情况进行比较，并由评审家独立对投标方进行比较打分，选平均得分。优得3-4分，良得1-2分，一般得0.5分。</w:t>
            </w:r>
          </w:p>
          <w:p w14:paraId="72238F41">
            <w:pPr>
              <w:spacing w:line="500" w:lineRule="exact"/>
              <w:textAlignment w:val="center"/>
              <w:rPr>
                <w:rFonts w:asciiTheme="minorEastAsia" w:hAnsiTheme="minorEastAsia" w:eastAsiaTheme="minorEastAsia" w:cstheme="minorEastAsia"/>
                <w:b/>
                <w:bCs/>
                <w:color w:val="auto"/>
                <w:sz w:val="22"/>
                <w:szCs w:val="22"/>
              </w:rPr>
            </w:pPr>
          </w:p>
        </w:tc>
        <w:tc>
          <w:tcPr>
            <w:tcW w:w="1470" w:type="dxa"/>
            <w:vMerge w:val="restart"/>
          </w:tcPr>
          <w:p w14:paraId="5B96A9F9">
            <w:pPr>
              <w:spacing w:line="500" w:lineRule="exact"/>
              <w:ind w:left="210" w:leftChars="100" w:firstLine="440" w:firstLineChars="2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 xml:space="preserve"> </w:t>
            </w:r>
          </w:p>
          <w:p w14:paraId="471E8770">
            <w:pPr>
              <w:ind w:firstLine="440"/>
              <w:rPr>
                <w:rFonts w:asciiTheme="minorEastAsia" w:hAnsiTheme="minorEastAsia" w:eastAsiaTheme="minorEastAsia" w:cstheme="minorEastAsia"/>
                <w:color w:val="auto"/>
                <w:sz w:val="22"/>
                <w:szCs w:val="22"/>
              </w:rPr>
            </w:pPr>
          </w:p>
          <w:p w14:paraId="6F1AC963">
            <w:pPr>
              <w:ind w:firstLine="440"/>
              <w:rPr>
                <w:rFonts w:asciiTheme="minorEastAsia" w:hAnsiTheme="minorEastAsia" w:eastAsiaTheme="minorEastAsia" w:cstheme="minorEastAsia"/>
                <w:color w:val="auto"/>
                <w:sz w:val="22"/>
                <w:szCs w:val="22"/>
              </w:rPr>
            </w:pPr>
          </w:p>
          <w:p w14:paraId="4D7D72BB">
            <w:pPr>
              <w:ind w:firstLine="440"/>
              <w:rPr>
                <w:rFonts w:asciiTheme="minorEastAsia" w:hAnsiTheme="minorEastAsia" w:eastAsiaTheme="minorEastAsia" w:cstheme="minorEastAsia"/>
                <w:color w:val="auto"/>
                <w:sz w:val="22"/>
                <w:szCs w:val="22"/>
              </w:rPr>
            </w:pPr>
          </w:p>
          <w:p w14:paraId="2FC9FEE2">
            <w:pPr>
              <w:ind w:firstLine="440"/>
              <w:rPr>
                <w:rFonts w:asciiTheme="minorEastAsia" w:hAnsiTheme="minorEastAsia" w:eastAsiaTheme="minorEastAsia" w:cstheme="minorEastAsia"/>
                <w:color w:val="auto"/>
                <w:sz w:val="22"/>
                <w:szCs w:val="22"/>
              </w:rPr>
            </w:pPr>
          </w:p>
          <w:p w14:paraId="555F5576">
            <w:pPr>
              <w:ind w:firstLine="440"/>
              <w:rPr>
                <w:rFonts w:asciiTheme="minorEastAsia" w:hAnsiTheme="minorEastAsia" w:eastAsiaTheme="minorEastAsia" w:cstheme="minorEastAsia"/>
                <w:color w:val="auto"/>
                <w:sz w:val="22"/>
                <w:szCs w:val="22"/>
              </w:rPr>
            </w:pPr>
          </w:p>
          <w:p w14:paraId="0594D21C">
            <w:pPr>
              <w:ind w:firstLine="440"/>
              <w:rPr>
                <w:rFonts w:asciiTheme="minorEastAsia" w:hAnsiTheme="minorEastAsia" w:eastAsiaTheme="minorEastAsia" w:cstheme="minorEastAsia"/>
                <w:color w:val="auto"/>
                <w:sz w:val="22"/>
                <w:szCs w:val="22"/>
              </w:rPr>
            </w:pPr>
          </w:p>
          <w:p w14:paraId="7782C1F9">
            <w:pPr>
              <w:ind w:firstLine="440"/>
              <w:rPr>
                <w:rFonts w:asciiTheme="minorEastAsia" w:hAnsiTheme="minorEastAsia" w:eastAsiaTheme="minorEastAsia" w:cstheme="minorEastAsia"/>
                <w:color w:val="auto"/>
                <w:sz w:val="22"/>
                <w:szCs w:val="22"/>
              </w:rPr>
            </w:pPr>
          </w:p>
          <w:p w14:paraId="0080A793">
            <w:pPr>
              <w:ind w:firstLine="440"/>
              <w:rPr>
                <w:rFonts w:asciiTheme="minorEastAsia" w:hAnsiTheme="minorEastAsia" w:eastAsiaTheme="minorEastAsia" w:cstheme="minorEastAsia"/>
                <w:color w:val="auto"/>
                <w:sz w:val="22"/>
                <w:szCs w:val="22"/>
              </w:rPr>
            </w:pPr>
          </w:p>
          <w:p w14:paraId="4E785665">
            <w:pPr>
              <w:ind w:firstLine="440"/>
              <w:rPr>
                <w:rFonts w:asciiTheme="minorEastAsia" w:hAnsiTheme="minorEastAsia" w:eastAsiaTheme="minorEastAsia" w:cstheme="minorEastAsia"/>
                <w:color w:val="auto"/>
                <w:sz w:val="22"/>
                <w:szCs w:val="22"/>
              </w:rPr>
            </w:pPr>
          </w:p>
          <w:p w14:paraId="7ABA2442">
            <w:pPr>
              <w:ind w:firstLine="440"/>
              <w:rPr>
                <w:rFonts w:asciiTheme="minorEastAsia" w:hAnsiTheme="minorEastAsia" w:eastAsiaTheme="minorEastAsia" w:cstheme="minorEastAsia"/>
                <w:color w:val="auto"/>
                <w:sz w:val="22"/>
                <w:szCs w:val="22"/>
              </w:rPr>
            </w:pPr>
          </w:p>
          <w:p w14:paraId="55E4EAC1">
            <w:pPr>
              <w:ind w:firstLine="440"/>
              <w:rPr>
                <w:rFonts w:asciiTheme="minorEastAsia" w:hAnsiTheme="minorEastAsia" w:eastAsiaTheme="minorEastAsia" w:cstheme="minorEastAsia"/>
                <w:color w:val="auto"/>
                <w:sz w:val="22"/>
                <w:szCs w:val="22"/>
              </w:rPr>
            </w:pPr>
          </w:p>
          <w:p w14:paraId="2360E523">
            <w:pPr>
              <w:rPr>
                <w:rFonts w:asciiTheme="minorEastAsia" w:hAnsiTheme="minorEastAsia" w:eastAsiaTheme="minorEastAsia" w:cstheme="minorEastAsia"/>
                <w:color w:val="auto"/>
                <w:sz w:val="22"/>
                <w:szCs w:val="22"/>
              </w:rPr>
            </w:pPr>
          </w:p>
          <w:p w14:paraId="2621F5BD">
            <w:pPr>
              <w:rPr>
                <w:rFonts w:asciiTheme="minorEastAsia" w:hAnsiTheme="minorEastAsia" w:eastAsiaTheme="minorEastAsia" w:cstheme="minorEastAsia"/>
                <w:color w:val="auto"/>
                <w:sz w:val="22"/>
                <w:szCs w:val="22"/>
              </w:rPr>
            </w:pPr>
          </w:p>
          <w:p w14:paraId="0A964132">
            <w:pPr>
              <w:rPr>
                <w:rFonts w:asciiTheme="minorEastAsia" w:hAnsiTheme="minorEastAsia" w:eastAsiaTheme="minorEastAsia" w:cstheme="minorEastAsia"/>
                <w:color w:val="auto"/>
                <w:sz w:val="22"/>
                <w:szCs w:val="22"/>
              </w:rPr>
            </w:pPr>
          </w:p>
          <w:p w14:paraId="778ED44B">
            <w:pPr>
              <w:rPr>
                <w:rFonts w:asciiTheme="minorEastAsia" w:hAnsiTheme="minorEastAsia" w:eastAsiaTheme="minorEastAsia" w:cstheme="minorEastAsia"/>
                <w:color w:val="auto"/>
                <w:sz w:val="22"/>
                <w:szCs w:val="22"/>
              </w:rPr>
            </w:pPr>
          </w:p>
          <w:p w14:paraId="40B24E49">
            <w:pPr>
              <w:rPr>
                <w:rFonts w:asciiTheme="minorEastAsia" w:hAnsiTheme="minorEastAsia" w:eastAsiaTheme="minorEastAsia" w:cstheme="minorEastAsia"/>
                <w:color w:val="auto"/>
                <w:sz w:val="22"/>
                <w:szCs w:val="22"/>
              </w:rPr>
            </w:pPr>
          </w:p>
          <w:p w14:paraId="5B73FBE5">
            <w:pPr>
              <w:rPr>
                <w:rFonts w:asciiTheme="minorEastAsia" w:hAnsiTheme="minorEastAsia" w:eastAsiaTheme="minorEastAsia" w:cstheme="minorEastAsia"/>
                <w:color w:val="auto"/>
                <w:sz w:val="22"/>
                <w:szCs w:val="22"/>
              </w:rPr>
            </w:pPr>
          </w:p>
          <w:p w14:paraId="32AE0A47">
            <w:pPr>
              <w:rPr>
                <w:rFonts w:asciiTheme="minorEastAsia" w:hAnsiTheme="minorEastAsia" w:eastAsiaTheme="minorEastAsia" w:cstheme="minorEastAsia"/>
                <w:color w:val="auto"/>
                <w:sz w:val="22"/>
                <w:szCs w:val="22"/>
              </w:rPr>
            </w:pPr>
            <w:r>
              <w:rPr>
                <w:rFonts w:asciiTheme="minorEastAsia" w:hAnsiTheme="minorEastAsia" w:eastAsiaTheme="minorEastAsia" w:cstheme="minorEastAsia"/>
                <w:color w:val="auto"/>
                <w:sz w:val="22"/>
                <w:szCs w:val="22"/>
              </w:rPr>
              <w:t>评审时核验电子标书中有效证明材料扫描件；动力电池</w:t>
            </w:r>
            <w:r>
              <w:rPr>
                <w:rFonts w:hint="eastAsia" w:asciiTheme="minorEastAsia" w:hAnsiTheme="minorEastAsia" w:eastAsiaTheme="minorEastAsia" w:cstheme="minorEastAsia"/>
                <w:color w:val="auto"/>
                <w:sz w:val="22"/>
                <w:szCs w:val="22"/>
              </w:rPr>
              <w:t>安装调试相关通讯协议、控制程序承诺书</w:t>
            </w:r>
          </w:p>
          <w:p w14:paraId="428827A0">
            <w:pPr>
              <w:ind w:firstLine="440"/>
              <w:rPr>
                <w:rFonts w:asciiTheme="minorEastAsia" w:hAnsiTheme="minorEastAsia" w:eastAsiaTheme="minorEastAsia" w:cstheme="minorEastAsia"/>
                <w:color w:val="auto"/>
                <w:sz w:val="22"/>
                <w:szCs w:val="22"/>
              </w:rPr>
            </w:pPr>
          </w:p>
          <w:p w14:paraId="0262AD82">
            <w:pPr>
              <w:ind w:firstLine="440"/>
              <w:rPr>
                <w:rFonts w:asciiTheme="minorEastAsia" w:hAnsiTheme="minorEastAsia" w:eastAsiaTheme="minorEastAsia" w:cstheme="minorEastAsia"/>
                <w:color w:val="auto"/>
                <w:sz w:val="22"/>
                <w:szCs w:val="22"/>
              </w:rPr>
            </w:pPr>
          </w:p>
          <w:p w14:paraId="534D403F">
            <w:pPr>
              <w:ind w:firstLine="440"/>
              <w:rPr>
                <w:rFonts w:asciiTheme="minorEastAsia" w:hAnsiTheme="minorEastAsia" w:eastAsiaTheme="minorEastAsia" w:cstheme="minorEastAsia"/>
                <w:color w:val="auto"/>
                <w:sz w:val="22"/>
                <w:szCs w:val="22"/>
              </w:rPr>
            </w:pPr>
          </w:p>
        </w:tc>
      </w:tr>
      <w:tr w14:paraId="2162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2" w:hRule="atLeast"/>
        </w:trPr>
        <w:tc>
          <w:tcPr>
            <w:tcW w:w="810" w:type="dxa"/>
          </w:tcPr>
          <w:p w14:paraId="5BD51648">
            <w:pPr>
              <w:spacing w:line="500" w:lineRule="exact"/>
              <w:ind w:firstLine="442"/>
              <w:textAlignment w:val="center"/>
              <w:rPr>
                <w:rFonts w:asciiTheme="minorEastAsia" w:hAnsiTheme="minorEastAsia" w:eastAsiaTheme="minorEastAsia" w:cstheme="minorEastAsia"/>
                <w:b/>
                <w:bCs/>
                <w:color w:val="auto"/>
                <w:sz w:val="22"/>
                <w:szCs w:val="22"/>
              </w:rPr>
            </w:pPr>
          </w:p>
        </w:tc>
        <w:tc>
          <w:tcPr>
            <w:tcW w:w="1395" w:type="dxa"/>
          </w:tcPr>
          <w:p w14:paraId="52D6E1D8">
            <w:pPr>
              <w:ind w:firstLine="440"/>
              <w:rPr>
                <w:rFonts w:asciiTheme="minorEastAsia" w:hAnsiTheme="minorEastAsia" w:eastAsiaTheme="minorEastAsia" w:cstheme="minorEastAsia"/>
                <w:color w:val="auto"/>
                <w:sz w:val="22"/>
                <w:szCs w:val="22"/>
              </w:rPr>
            </w:pPr>
          </w:p>
          <w:p w14:paraId="21549FED">
            <w:pPr>
              <w:ind w:firstLine="440"/>
              <w:rPr>
                <w:rFonts w:asciiTheme="minorEastAsia" w:hAnsiTheme="minorEastAsia" w:eastAsiaTheme="minorEastAsia" w:cstheme="minorEastAsia"/>
                <w:color w:val="auto"/>
                <w:sz w:val="22"/>
                <w:szCs w:val="22"/>
              </w:rPr>
            </w:pPr>
          </w:p>
          <w:p w14:paraId="5EC8E76F">
            <w:pPr>
              <w:ind w:firstLine="440"/>
              <w:rPr>
                <w:rFonts w:asciiTheme="minorEastAsia" w:hAnsiTheme="minorEastAsia" w:eastAsiaTheme="minorEastAsia" w:cstheme="minorEastAsia"/>
                <w:color w:val="auto"/>
                <w:sz w:val="22"/>
                <w:szCs w:val="22"/>
              </w:rPr>
            </w:pPr>
          </w:p>
          <w:p w14:paraId="146CC531">
            <w:pPr>
              <w:ind w:firstLine="440"/>
              <w:rPr>
                <w:rFonts w:asciiTheme="minorEastAsia" w:hAnsiTheme="minorEastAsia" w:eastAsiaTheme="minorEastAsia" w:cstheme="minorEastAsia"/>
                <w:color w:val="auto"/>
                <w:sz w:val="22"/>
                <w:szCs w:val="22"/>
              </w:rPr>
            </w:pPr>
          </w:p>
          <w:p w14:paraId="57FFBED4">
            <w:pPr>
              <w:ind w:firstLine="440"/>
              <w:rPr>
                <w:rFonts w:asciiTheme="minorEastAsia" w:hAnsiTheme="minorEastAsia" w:eastAsiaTheme="minorEastAsia" w:cstheme="minorEastAsia"/>
                <w:color w:val="auto"/>
                <w:sz w:val="22"/>
                <w:szCs w:val="22"/>
              </w:rPr>
            </w:pPr>
          </w:p>
          <w:p w14:paraId="42DECD3B">
            <w:pPr>
              <w:ind w:firstLine="440"/>
              <w:rPr>
                <w:rFonts w:asciiTheme="minorEastAsia" w:hAnsiTheme="minorEastAsia" w:eastAsiaTheme="minorEastAsia" w:cstheme="minorEastAsia"/>
                <w:color w:val="auto"/>
                <w:sz w:val="22"/>
                <w:szCs w:val="22"/>
              </w:rPr>
            </w:pPr>
          </w:p>
          <w:p w14:paraId="4D8D93D4">
            <w:pPr>
              <w:ind w:firstLine="440"/>
              <w:rPr>
                <w:rFonts w:asciiTheme="minorEastAsia" w:hAnsiTheme="minorEastAsia" w:eastAsiaTheme="minorEastAsia" w:cstheme="minorEastAsia"/>
                <w:color w:val="auto"/>
                <w:sz w:val="22"/>
                <w:szCs w:val="22"/>
              </w:rPr>
            </w:pPr>
          </w:p>
          <w:p w14:paraId="43F6603A">
            <w:pPr>
              <w:ind w:firstLine="440"/>
              <w:rPr>
                <w:rFonts w:asciiTheme="minorEastAsia" w:hAnsiTheme="minorEastAsia" w:eastAsiaTheme="minorEastAsia" w:cstheme="minorEastAsia"/>
                <w:color w:val="auto"/>
                <w:sz w:val="22"/>
                <w:szCs w:val="22"/>
              </w:rPr>
            </w:pPr>
          </w:p>
          <w:p w14:paraId="6DC1F441">
            <w:pPr>
              <w:ind w:firstLine="440"/>
              <w:rPr>
                <w:rFonts w:asciiTheme="minorEastAsia" w:hAnsiTheme="minorEastAsia" w:eastAsiaTheme="minorEastAsia" w:cstheme="minorEastAsia"/>
                <w:color w:val="auto"/>
                <w:sz w:val="22"/>
                <w:szCs w:val="22"/>
              </w:rPr>
            </w:pPr>
          </w:p>
          <w:p w14:paraId="40E1BA16">
            <w:pPr>
              <w:ind w:firstLine="440"/>
              <w:rPr>
                <w:rFonts w:asciiTheme="minorEastAsia" w:hAnsiTheme="minorEastAsia" w:eastAsiaTheme="minorEastAsia" w:cstheme="minorEastAsia"/>
                <w:color w:val="auto"/>
                <w:sz w:val="22"/>
                <w:szCs w:val="22"/>
              </w:rPr>
            </w:pPr>
          </w:p>
          <w:p w14:paraId="750C38A6">
            <w:pPr>
              <w:ind w:firstLine="440"/>
              <w:rPr>
                <w:rFonts w:asciiTheme="minorEastAsia" w:hAnsiTheme="minorEastAsia" w:eastAsiaTheme="minorEastAsia" w:cstheme="minorEastAsia"/>
                <w:color w:val="auto"/>
                <w:sz w:val="22"/>
                <w:szCs w:val="22"/>
              </w:rPr>
            </w:pPr>
          </w:p>
          <w:p w14:paraId="6F332B01">
            <w:pPr>
              <w:ind w:firstLine="440"/>
              <w:rPr>
                <w:rFonts w:asciiTheme="minorEastAsia" w:hAnsiTheme="minorEastAsia" w:eastAsiaTheme="minorEastAsia" w:cstheme="minorEastAsia"/>
                <w:color w:val="auto"/>
                <w:sz w:val="22"/>
                <w:szCs w:val="22"/>
              </w:rPr>
            </w:pPr>
          </w:p>
          <w:p w14:paraId="02BD2515">
            <w:pPr>
              <w:ind w:firstLine="440"/>
              <w:rPr>
                <w:rFonts w:asciiTheme="minorEastAsia" w:hAnsiTheme="minorEastAsia" w:eastAsiaTheme="minorEastAsia" w:cstheme="minorEastAsia"/>
                <w:color w:val="auto"/>
                <w:sz w:val="22"/>
                <w:szCs w:val="22"/>
              </w:rPr>
            </w:pPr>
          </w:p>
          <w:p w14:paraId="0665103F">
            <w:pPr>
              <w:rPr>
                <w:rFonts w:asciiTheme="minorEastAsia" w:hAnsiTheme="minorEastAsia" w:eastAsiaTheme="minorEastAsia" w:cstheme="minorEastAsia"/>
                <w:color w:val="auto"/>
                <w:sz w:val="22"/>
                <w:szCs w:val="22"/>
              </w:rPr>
            </w:pPr>
            <w:r>
              <w:rPr>
                <w:rFonts w:asciiTheme="minorEastAsia" w:hAnsiTheme="minorEastAsia" w:eastAsiaTheme="minorEastAsia" w:cstheme="minorEastAsia"/>
                <w:color w:val="auto"/>
                <w:sz w:val="22"/>
                <w:szCs w:val="22"/>
              </w:rPr>
              <w:t>产品技术部分</w:t>
            </w:r>
          </w:p>
          <w:p w14:paraId="7DCDFF08">
            <w:pPr>
              <w:ind w:firstLine="440"/>
              <w:rPr>
                <w:rFonts w:asciiTheme="minorEastAsia" w:hAnsiTheme="minorEastAsia" w:eastAsiaTheme="minorEastAsia" w:cstheme="minorEastAsia"/>
                <w:color w:val="auto"/>
                <w:sz w:val="22"/>
                <w:szCs w:val="22"/>
              </w:rPr>
            </w:pPr>
          </w:p>
          <w:p w14:paraId="6BEFE939">
            <w:pPr>
              <w:ind w:firstLine="440"/>
              <w:rPr>
                <w:rFonts w:asciiTheme="minorEastAsia" w:hAnsiTheme="minorEastAsia" w:eastAsiaTheme="minorEastAsia" w:cstheme="minorEastAsia"/>
                <w:color w:val="auto"/>
                <w:sz w:val="22"/>
                <w:szCs w:val="22"/>
              </w:rPr>
            </w:pPr>
          </w:p>
          <w:p w14:paraId="56D44387">
            <w:pPr>
              <w:ind w:firstLine="440"/>
              <w:rPr>
                <w:rFonts w:asciiTheme="minorEastAsia" w:hAnsiTheme="minorEastAsia" w:eastAsiaTheme="minorEastAsia" w:cstheme="minorEastAsia"/>
                <w:color w:val="auto"/>
                <w:sz w:val="22"/>
                <w:szCs w:val="22"/>
              </w:rPr>
            </w:pPr>
          </w:p>
          <w:p w14:paraId="3C7660F7">
            <w:pPr>
              <w:ind w:firstLine="442"/>
              <w:rPr>
                <w:rFonts w:asciiTheme="minorEastAsia" w:hAnsiTheme="minorEastAsia" w:eastAsiaTheme="minorEastAsia" w:cstheme="minorEastAsia"/>
                <w:b/>
                <w:bCs/>
                <w:color w:val="auto"/>
                <w:sz w:val="22"/>
                <w:szCs w:val="22"/>
              </w:rPr>
            </w:pPr>
          </w:p>
        </w:tc>
        <w:tc>
          <w:tcPr>
            <w:tcW w:w="855" w:type="dxa"/>
          </w:tcPr>
          <w:p w14:paraId="5A96B6CA">
            <w:pPr>
              <w:spacing w:line="500" w:lineRule="exact"/>
              <w:ind w:left="109" w:leftChars="52"/>
              <w:textAlignment w:val="center"/>
              <w:rPr>
                <w:rFonts w:hint="eastAsia" w:ascii="宋体" w:hAnsi="宋体" w:eastAsia="宋体" w:cs="宋体"/>
                <w:color w:val="auto"/>
                <w:sz w:val="22"/>
                <w:szCs w:val="22"/>
                <w:lang w:val="zh-CN" w:bidi="zh-CN"/>
              </w:rPr>
            </w:pPr>
          </w:p>
          <w:p w14:paraId="4AD68E2C">
            <w:pPr>
              <w:spacing w:line="500" w:lineRule="exact"/>
              <w:ind w:left="109" w:leftChars="52"/>
              <w:textAlignment w:val="center"/>
              <w:rPr>
                <w:rFonts w:hint="eastAsia" w:ascii="宋体" w:hAnsi="宋体" w:eastAsia="宋体" w:cs="宋体"/>
                <w:color w:val="auto"/>
                <w:sz w:val="22"/>
                <w:szCs w:val="22"/>
                <w:lang w:val="zh-CN" w:bidi="zh-CN"/>
              </w:rPr>
            </w:pPr>
          </w:p>
          <w:p w14:paraId="377E6438">
            <w:pPr>
              <w:spacing w:line="500" w:lineRule="exact"/>
              <w:ind w:left="109" w:leftChars="52"/>
              <w:textAlignment w:val="center"/>
              <w:rPr>
                <w:rFonts w:hint="eastAsia" w:ascii="宋体" w:hAnsi="宋体" w:eastAsia="宋体" w:cs="宋体"/>
                <w:color w:val="auto"/>
                <w:sz w:val="22"/>
                <w:szCs w:val="22"/>
                <w:lang w:val="zh-CN" w:bidi="zh-CN"/>
              </w:rPr>
            </w:pPr>
          </w:p>
          <w:p w14:paraId="11A79E21">
            <w:pPr>
              <w:spacing w:line="500" w:lineRule="exact"/>
              <w:ind w:left="109" w:leftChars="52"/>
              <w:textAlignment w:val="center"/>
              <w:rPr>
                <w:rFonts w:hint="eastAsia" w:ascii="宋体" w:hAnsi="宋体" w:eastAsia="宋体" w:cs="宋体"/>
                <w:color w:val="auto"/>
                <w:sz w:val="22"/>
                <w:szCs w:val="22"/>
                <w:lang w:val="zh-CN" w:bidi="zh-CN"/>
              </w:rPr>
            </w:pPr>
          </w:p>
          <w:p w14:paraId="3EA1D2C7">
            <w:pPr>
              <w:spacing w:line="500" w:lineRule="exact"/>
              <w:ind w:left="109" w:leftChars="52"/>
              <w:textAlignment w:val="center"/>
              <w:rPr>
                <w:rFonts w:hint="eastAsia" w:ascii="宋体" w:hAnsi="宋体" w:eastAsia="宋体" w:cs="宋体"/>
                <w:color w:val="auto"/>
                <w:sz w:val="22"/>
                <w:szCs w:val="22"/>
                <w:lang w:val="zh-CN" w:bidi="zh-CN"/>
              </w:rPr>
            </w:pPr>
          </w:p>
          <w:p w14:paraId="69059764">
            <w:pPr>
              <w:spacing w:line="500" w:lineRule="exact"/>
              <w:ind w:left="109" w:leftChars="52"/>
              <w:textAlignment w:val="center"/>
              <w:rPr>
                <w:rFonts w:hint="eastAsia" w:ascii="宋体" w:hAnsi="宋体" w:eastAsia="宋体" w:cs="宋体"/>
                <w:color w:val="auto"/>
                <w:sz w:val="22"/>
                <w:szCs w:val="22"/>
                <w:lang w:val="zh-CN" w:bidi="zh-CN"/>
              </w:rPr>
            </w:pPr>
          </w:p>
          <w:p w14:paraId="24454444">
            <w:pPr>
              <w:spacing w:line="500" w:lineRule="exact"/>
              <w:ind w:left="109" w:leftChars="52"/>
              <w:textAlignment w:val="center"/>
              <w:rPr>
                <w:rFonts w:hint="eastAsia" w:ascii="宋体" w:hAnsi="宋体" w:eastAsia="宋体" w:cs="宋体"/>
                <w:color w:val="auto"/>
                <w:sz w:val="22"/>
                <w:szCs w:val="22"/>
                <w:lang w:val="zh-CN" w:bidi="zh-CN"/>
              </w:rPr>
            </w:pPr>
          </w:p>
          <w:p w14:paraId="2D2F7F76">
            <w:pPr>
              <w:spacing w:line="500" w:lineRule="exact"/>
              <w:ind w:left="109" w:leftChars="52"/>
              <w:textAlignment w:val="center"/>
              <w:rPr>
                <w:rFonts w:hint="eastAsia" w:ascii="宋体" w:hAnsi="宋体" w:eastAsia="宋体" w:cs="宋体"/>
                <w:color w:val="auto"/>
                <w:sz w:val="22"/>
                <w:szCs w:val="22"/>
                <w:lang w:val="zh-CN" w:bidi="zh-CN"/>
              </w:rPr>
            </w:pPr>
          </w:p>
          <w:p w14:paraId="5385BD16">
            <w:pPr>
              <w:spacing w:line="500" w:lineRule="exact"/>
              <w:ind w:left="109" w:leftChars="52"/>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12分</w:t>
            </w:r>
          </w:p>
        </w:tc>
        <w:tc>
          <w:tcPr>
            <w:tcW w:w="6465" w:type="dxa"/>
          </w:tcPr>
          <w:p w14:paraId="067D662B">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CF1CC93">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三、电池安全（12分）</w:t>
            </w:r>
          </w:p>
          <w:p w14:paraId="520BA040">
            <w:pPr>
              <w:shd w:val="clear" w:color="auto" w:fill="FFFFFF" w:themeFill="background1"/>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1、投标人所投的全套动力电池满足</w:t>
            </w:r>
            <w:r>
              <w:rPr>
                <w:rFonts w:asciiTheme="minorEastAsia" w:hAnsiTheme="minorEastAsia" w:eastAsiaTheme="minorEastAsia" w:cstheme="minorEastAsia"/>
                <w:color w:val="auto"/>
                <w:sz w:val="22"/>
                <w:szCs w:val="22"/>
              </w:rPr>
              <w:t>GB38031—2020《电动汽车用动力蓄电池安全要求》</w:t>
            </w:r>
            <w:r>
              <w:rPr>
                <w:rFonts w:hint="eastAsia" w:asciiTheme="minorEastAsia" w:hAnsiTheme="minorEastAsia" w:eastAsiaTheme="minorEastAsia" w:cstheme="minorEastAsia"/>
                <w:color w:val="auto"/>
                <w:sz w:val="22"/>
                <w:szCs w:val="22"/>
              </w:rPr>
              <w:t>国家强制性标准。提供检测（验）报告的得5分，未提供或提供无效者为无效标，本项最高得5分。</w:t>
            </w:r>
          </w:p>
          <w:p w14:paraId="0FB55C9F">
            <w:pPr>
              <w:shd w:val="clear" w:color="auto" w:fill="FFFFFF" w:themeFill="background1"/>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（提供带CMA或CNAS标识的检测（验）报告扫描件加盖投标人公章）</w:t>
            </w:r>
          </w:p>
          <w:p w14:paraId="6C6D2A4B">
            <w:pPr>
              <w:numPr>
                <w:ilvl w:val="0"/>
                <w:numId w:val="5"/>
              </w:numPr>
              <w:spacing w:line="500" w:lineRule="exact"/>
              <w:ind w:firstLine="440"/>
              <w:textAlignment w:val="center"/>
              <w:rPr>
                <w:rFonts w:cs="宋体" w:asciiTheme="minorEastAsia" w:hAnsiTheme="minorEastAsia" w:eastAsiaTheme="minorEastAsia"/>
                <w:color w:val="auto"/>
                <w:sz w:val="22"/>
                <w:szCs w:val="22"/>
              </w:rPr>
            </w:pPr>
            <w:r>
              <w:rPr>
                <w:rFonts w:hint="eastAsia" w:cs="宋体" w:asciiTheme="minorEastAsia" w:hAnsiTheme="minorEastAsia" w:eastAsiaTheme="minorEastAsia"/>
                <w:color w:val="auto"/>
                <w:sz w:val="22"/>
                <w:szCs w:val="22"/>
              </w:rPr>
              <w:t>投标人动力电池防护等级电池箱≥IP54，连接器≧IP67的得2分。</w:t>
            </w:r>
          </w:p>
          <w:p w14:paraId="20EF3803">
            <w:pPr>
              <w:spacing w:line="500" w:lineRule="exact"/>
              <w:ind w:firstLine="442"/>
              <w:textAlignment w:val="center"/>
              <w:rPr>
                <w:rFonts w:cs="宋体" w:asciiTheme="minorEastAsia" w:hAnsiTheme="minorEastAsia" w:eastAsiaTheme="minorEastAsia"/>
                <w:b/>
                <w:bCs/>
                <w:color w:val="auto"/>
                <w:sz w:val="22"/>
                <w:szCs w:val="22"/>
              </w:rPr>
            </w:pPr>
            <w:r>
              <w:rPr>
                <w:rFonts w:hint="eastAsia" w:cs="宋体" w:asciiTheme="minorEastAsia" w:hAnsiTheme="minorEastAsia" w:eastAsiaTheme="minorEastAsia"/>
                <w:b/>
                <w:bCs/>
                <w:color w:val="auto"/>
                <w:sz w:val="22"/>
                <w:szCs w:val="22"/>
              </w:rPr>
              <w:t>（</w:t>
            </w:r>
            <w:r>
              <w:rPr>
                <w:rFonts w:hint="eastAsia" w:asciiTheme="minorEastAsia" w:hAnsiTheme="minorEastAsia" w:eastAsiaTheme="minorEastAsia" w:cstheme="minorEastAsia"/>
                <w:b/>
                <w:bCs/>
                <w:color w:val="auto"/>
                <w:sz w:val="22"/>
                <w:szCs w:val="22"/>
              </w:rPr>
              <w:t>提供带CMA或CNAS标识的检测（验）报告扫描件加盖投标人公章，不提供不得分</w:t>
            </w:r>
            <w:r>
              <w:rPr>
                <w:rFonts w:hint="eastAsia" w:cs="宋体" w:asciiTheme="minorEastAsia" w:hAnsiTheme="minorEastAsia" w:eastAsiaTheme="minorEastAsia"/>
                <w:b/>
                <w:bCs/>
                <w:color w:val="auto"/>
                <w:sz w:val="22"/>
                <w:szCs w:val="22"/>
              </w:rPr>
              <w:t>）</w:t>
            </w:r>
          </w:p>
          <w:p w14:paraId="22B05453">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3、投标人承诺所投电池产品满足采购人现有公交车需求，自行与车辆厂家协商整车通讯协议、控制程序等，</w:t>
            </w:r>
            <w:r>
              <w:rPr>
                <w:rFonts w:hint="eastAsia" w:cs="宋体" w:asciiTheme="minorEastAsia" w:hAnsiTheme="minorEastAsia" w:eastAsiaTheme="minorEastAsia"/>
                <w:color w:val="auto"/>
                <w:sz w:val="22"/>
                <w:szCs w:val="22"/>
              </w:rPr>
              <w:t>并承担全部费用。本</w:t>
            </w:r>
            <w:r>
              <w:rPr>
                <w:rFonts w:hint="eastAsia" w:asciiTheme="minorEastAsia" w:hAnsiTheme="minorEastAsia" w:eastAsiaTheme="minorEastAsia" w:cstheme="minorEastAsia"/>
                <w:color w:val="auto"/>
                <w:sz w:val="22"/>
                <w:szCs w:val="22"/>
              </w:rPr>
              <w:t>项满分5分，未提供的得0分。</w:t>
            </w:r>
          </w:p>
          <w:p w14:paraId="22AC24B8">
            <w:pPr>
              <w:spacing w:line="500" w:lineRule="exact"/>
              <w:ind w:firstLine="442"/>
              <w:textAlignment w:val="center"/>
              <w:rPr>
                <w:rFonts w:asciiTheme="minorEastAsia" w:hAnsiTheme="minorEastAsia" w:eastAsiaTheme="minorEastAsia" w:cstheme="minorEastAsia"/>
                <w:b/>
                <w:bCs/>
                <w:strike/>
                <w:color w:val="auto"/>
                <w:sz w:val="22"/>
                <w:szCs w:val="22"/>
              </w:rPr>
            </w:pPr>
            <w:r>
              <w:rPr>
                <w:rFonts w:hint="eastAsia" w:asciiTheme="minorEastAsia" w:hAnsiTheme="minorEastAsia" w:eastAsiaTheme="minorEastAsia" w:cstheme="minorEastAsia"/>
                <w:b/>
                <w:bCs/>
                <w:color w:val="auto"/>
                <w:sz w:val="22"/>
                <w:szCs w:val="22"/>
              </w:rPr>
              <w:t>（提供承诺书加盖投标人公章）</w:t>
            </w:r>
          </w:p>
          <w:p w14:paraId="4749ED37">
            <w:pPr>
              <w:pStyle w:val="71"/>
              <w:ind w:firstLine="221"/>
              <w:rPr>
                <w:rFonts w:asciiTheme="minorEastAsia" w:hAnsiTheme="minorEastAsia" w:eastAsiaTheme="minorEastAsia" w:cstheme="minorEastAsia"/>
                <w:b/>
                <w:bCs/>
                <w:color w:val="auto"/>
                <w:sz w:val="22"/>
                <w:szCs w:val="22"/>
                <w:shd w:val="clear" w:color="auto" w:fill="FFFFFF"/>
              </w:rPr>
            </w:pPr>
          </w:p>
        </w:tc>
        <w:tc>
          <w:tcPr>
            <w:tcW w:w="1470" w:type="dxa"/>
            <w:vMerge w:val="continue"/>
          </w:tcPr>
          <w:p w14:paraId="24C0C237">
            <w:pPr>
              <w:spacing w:line="500" w:lineRule="exact"/>
              <w:ind w:left="210" w:leftChars="100" w:firstLine="440" w:firstLineChars="200"/>
              <w:textAlignment w:val="center"/>
              <w:rPr>
                <w:rFonts w:asciiTheme="minorEastAsia" w:hAnsiTheme="minorEastAsia" w:eastAsiaTheme="minorEastAsia" w:cstheme="minorEastAsia"/>
                <w:color w:val="auto"/>
                <w:sz w:val="22"/>
                <w:szCs w:val="22"/>
              </w:rPr>
            </w:pPr>
          </w:p>
        </w:tc>
      </w:tr>
      <w:tr w14:paraId="5931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6" w:hRule="atLeast"/>
        </w:trPr>
        <w:tc>
          <w:tcPr>
            <w:tcW w:w="810" w:type="dxa"/>
          </w:tcPr>
          <w:p w14:paraId="6F9BA6C4">
            <w:pPr>
              <w:spacing w:line="500" w:lineRule="exact"/>
              <w:ind w:firstLine="442"/>
              <w:textAlignment w:val="center"/>
              <w:rPr>
                <w:rFonts w:asciiTheme="minorEastAsia" w:hAnsiTheme="minorEastAsia" w:eastAsiaTheme="minorEastAsia" w:cstheme="minorEastAsia"/>
                <w:b/>
                <w:bCs/>
                <w:color w:val="auto"/>
                <w:sz w:val="22"/>
                <w:szCs w:val="22"/>
              </w:rPr>
            </w:pPr>
          </w:p>
          <w:p w14:paraId="1FF99365">
            <w:pPr>
              <w:spacing w:line="500" w:lineRule="exact"/>
              <w:ind w:firstLine="442"/>
              <w:textAlignment w:val="center"/>
              <w:rPr>
                <w:rFonts w:asciiTheme="minorEastAsia" w:hAnsiTheme="minorEastAsia" w:eastAsiaTheme="minorEastAsia" w:cstheme="minorEastAsia"/>
                <w:b/>
                <w:bCs/>
                <w:color w:val="auto"/>
                <w:sz w:val="22"/>
                <w:szCs w:val="22"/>
              </w:rPr>
            </w:pPr>
          </w:p>
          <w:p w14:paraId="6581F5DA">
            <w:pPr>
              <w:spacing w:line="500" w:lineRule="exact"/>
              <w:ind w:firstLine="442"/>
              <w:textAlignment w:val="center"/>
              <w:rPr>
                <w:rFonts w:asciiTheme="minorEastAsia" w:hAnsiTheme="minorEastAsia" w:eastAsiaTheme="minorEastAsia" w:cstheme="minorEastAsia"/>
                <w:b/>
                <w:bCs/>
                <w:color w:val="auto"/>
                <w:sz w:val="22"/>
                <w:szCs w:val="22"/>
              </w:rPr>
            </w:pPr>
          </w:p>
          <w:p w14:paraId="6F693AAF">
            <w:pPr>
              <w:spacing w:line="500" w:lineRule="exact"/>
              <w:ind w:firstLine="442"/>
              <w:textAlignment w:val="center"/>
              <w:rPr>
                <w:rFonts w:asciiTheme="minorEastAsia" w:hAnsiTheme="minorEastAsia" w:eastAsiaTheme="minorEastAsia" w:cstheme="minorEastAsia"/>
                <w:b/>
                <w:bCs/>
                <w:color w:val="auto"/>
                <w:sz w:val="22"/>
                <w:szCs w:val="22"/>
              </w:rPr>
            </w:pPr>
          </w:p>
          <w:p w14:paraId="5B76E784">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9A1C18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EFB74F0">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18A2A86C">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A2D7F15">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2E359B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34E19AD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3473F1D">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2</w:t>
            </w:r>
          </w:p>
        </w:tc>
        <w:tc>
          <w:tcPr>
            <w:tcW w:w="1395" w:type="dxa"/>
          </w:tcPr>
          <w:p w14:paraId="4D12E9D4">
            <w:pPr>
              <w:spacing w:line="500" w:lineRule="exact"/>
              <w:ind w:firstLine="442"/>
              <w:textAlignment w:val="center"/>
              <w:rPr>
                <w:rFonts w:asciiTheme="minorEastAsia" w:hAnsiTheme="minorEastAsia" w:eastAsiaTheme="minorEastAsia" w:cstheme="minorEastAsia"/>
                <w:b/>
                <w:bCs/>
                <w:color w:val="auto"/>
                <w:sz w:val="22"/>
                <w:szCs w:val="22"/>
              </w:rPr>
            </w:pPr>
          </w:p>
          <w:p w14:paraId="78B93198">
            <w:pPr>
              <w:spacing w:line="500" w:lineRule="exact"/>
              <w:ind w:firstLine="442"/>
              <w:textAlignment w:val="center"/>
              <w:rPr>
                <w:rFonts w:asciiTheme="minorEastAsia" w:hAnsiTheme="minorEastAsia" w:eastAsiaTheme="minorEastAsia" w:cstheme="minorEastAsia"/>
                <w:b/>
                <w:bCs/>
                <w:color w:val="auto"/>
                <w:sz w:val="22"/>
                <w:szCs w:val="22"/>
              </w:rPr>
            </w:pPr>
          </w:p>
          <w:p w14:paraId="5A9A5C10">
            <w:pPr>
              <w:spacing w:line="500" w:lineRule="exact"/>
              <w:ind w:firstLine="442"/>
              <w:textAlignment w:val="center"/>
              <w:rPr>
                <w:rFonts w:asciiTheme="minorEastAsia" w:hAnsiTheme="minorEastAsia" w:eastAsiaTheme="minorEastAsia" w:cstheme="minorEastAsia"/>
                <w:b/>
                <w:bCs/>
                <w:color w:val="auto"/>
                <w:sz w:val="22"/>
                <w:szCs w:val="22"/>
              </w:rPr>
            </w:pPr>
          </w:p>
          <w:p w14:paraId="0FFE8136">
            <w:pPr>
              <w:spacing w:line="500" w:lineRule="exact"/>
              <w:ind w:firstLine="442"/>
              <w:textAlignment w:val="center"/>
              <w:rPr>
                <w:rFonts w:asciiTheme="minorEastAsia" w:hAnsiTheme="minorEastAsia" w:eastAsiaTheme="minorEastAsia" w:cstheme="minorEastAsia"/>
                <w:b/>
                <w:bCs/>
                <w:color w:val="auto"/>
                <w:sz w:val="22"/>
                <w:szCs w:val="22"/>
              </w:rPr>
            </w:pPr>
          </w:p>
          <w:p w14:paraId="41F93D6D">
            <w:pPr>
              <w:spacing w:line="500" w:lineRule="exact"/>
              <w:ind w:firstLine="442"/>
              <w:textAlignment w:val="center"/>
              <w:rPr>
                <w:rFonts w:asciiTheme="minorEastAsia" w:hAnsiTheme="minorEastAsia" w:eastAsiaTheme="minorEastAsia" w:cstheme="minorEastAsia"/>
                <w:b/>
                <w:bCs/>
                <w:color w:val="auto"/>
                <w:sz w:val="22"/>
                <w:szCs w:val="22"/>
              </w:rPr>
            </w:pPr>
          </w:p>
          <w:p w14:paraId="0C84F580">
            <w:pPr>
              <w:spacing w:line="500" w:lineRule="exact"/>
              <w:ind w:firstLine="442"/>
              <w:textAlignment w:val="center"/>
              <w:rPr>
                <w:rFonts w:asciiTheme="minorEastAsia" w:hAnsiTheme="minorEastAsia" w:eastAsiaTheme="minorEastAsia" w:cstheme="minorEastAsia"/>
                <w:b/>
                <w:bCs/>
                <w:color w:val="auto"/>
                <w:sz w:val="22"/>
                <w:szCs w:val="22"/>
              </w:rPr>
            </w:pPr>
          </w:p>
          <w:p w14:paraId="4A23D132">
            <w:pPr>
              <w:spacing w:line="500" w:lineRule="exact"/>
              <w:ind w:firstLine="442"/>
              <w:textAlignment w:val="center"/>
              <w:rPr>
                <w:rFonts w:asciiTheme="minorEastAsia" w:hAnsiTheme="minorEastAsia" w:eastAsiaTheme="minorEastAsia" w:cstheme="minorEastAsia"/>
                <w:b/>
                <w:bCs/>
                <w:color w:val="auto"/>
                <w:sz w:val="22"/>
                <w:szCs w:val="22"/>
              </w:rPr>
            </w:pPr>
          </w:p>
          <w:p w14:paraId="1A66B23B">
            <w:pPr>
              <w:spacing w:line="500" w:lineRule="exact"/>
              <w:ind w:firstLine="442"/>
              <w:textAlignment w:val="center"/>
              <w:rPr>
                <w:rFonts w:asciiTheme="minorEastAsia" w:hAnsiTheme="minorEastAsia" w:eastAsiaTheme="minorEastAsia" w:cstheme="minorEastAsia"/>
                <w:b/>
                <w:bCs/>
                <w:color w:val="auto"/>
                <w:sz w:val="22"/>
                <w:szCs w:val="22"/>
              </w:rPr>
            </w:pPr>
          </w:p>
          <w:p w14:paraId="55538189">
            <w:pPr>
              <w:spacing w:line="500" w:lineRule="exact"/>
              <w:ind w:firstLine="442"/>
              <w:textAlignment w:val="center"/>
              <w:rPr>
                <w:rFonts w:asciiTheme="minorEastAsia" w:hAnsiTheme="minorEastAsia" w:eastAsiaTheme="minorEastAsia" w:cstheme="minorEastAsia"/>
                <w:b/>
                <w:bCs/>
                <w:color w:val="auto"/>
                <w:sz w:val="22"/>
                <w:szCs w:val="22"/>
              </w:rPr>
            </w:pPr>
          </w:p>
          <w:p w14:paraId="28991907">
            <w:pPr>
              <w:spacing w:line="500" w:lineRule="exact"/>
              <w:ind w:firstLine="442"/>
              <w:textAlignment w:val="center"/>
              <w:rPr>
                <w:rFonts w:asciiTheme="minorEastAsia" w:hAnsiTheme="minorEastAsia" w:eastAsiaTheme="minorEastAsia" w:cstheme="minorEastAsia"/>
                <w:b/>
                <w:bCs/>
                <w:color w:val="auto"/>
                <w:sz w:val="22"/>
                <w:szCs w:val="22"/>
              </w:rPr>
            </w:pPr>
          </w:p>
          <w:p w14:paraId="281D9B85">
            <w:pPr>
              <w:spacing w:line="500" w:lineRule="exact"/>
              <w:ind w:firstLine="442"/>
              <w:textAlignment w:val="center"/>
              <w:rPr>
                <w:rFonts w:asciiTheme="minorEastAsia" w:hAnsiTheme="minorEastAsia" w:eastAsiaTheme="minorEastAsia" w:cstheme="minorEastAsia"/>
                <w:b/>
                <w:bCs/>
                <w:color w:val="auto"/>
                <w:sz w:val="22"/>
                <w:szCs w:val="22"/>
              </w:rPr>
            </w:pPr>
          </w:p>
          <w:p w14:paraId="1AB8C67F">
            <w:pPr>
              <w:spacing w:line="500" w:lineRule="exact"/>
              <w:ind w:firstLine="442"/>
              <w:textAlignment w:val="center"/>
              <w:rPr>
                <w:rFonts w:asciiTheme="minorEastAsia" w:hAnsiTheme="minorEastAsia" w:eastAsiaTheme="minorEastAsia" w:cstheme="minorEastAsia"/>
                <w:b/>
                <w:bCs/>
                <w:color w:val="auto"/>
                <w:sz w:val="22"/>
                <w:szCs w:val="22"/>
              </w:rPr>
            </w:pPr>
            <w:r>
              <w:rPr>
                <w:rFonts w:asciiTheme="minorEastAsia" w:hAnsiTheme="minorEastAsia" w:eastAsiaTheme="minorEastAsia" w:cstheme="minorEastAsia"/>
                <w:b/>
                <w:bCs/>
                <w:color w:val="auto"/>
                <w:sz w:val="22"/>
                <w:szCs w:val="22"/>
              </w:rPr>
              <w:t>投标人</w:t>
            </w:r>
          </w:p>
        </w:tc>
        <w:tc>
          <w:tcPr>
            <w:tcW w:w="855" w:type="dxa"/>
          </w:tcPr>
          <w:p w14:paraId="469A1984">
            <w:pPr>
              <w:spacing w:line="500" w:lineRule="exact"/>
              <w:ind w:firstLine="440"/>
              <w:textAlignment w:val="center"/>
              <w:rPr>
                <w:rFonts w:ascii="宋体" w:hAnsi="宋体" w:eastAsia="宋体" w:cs="宋体"/>
                <w:color w:val="auto"/>
                <w:sz w:val="22"/>
                <w:szCs w:val="22"/>
                <w:lang w:val="zh-CN" w:bidi="zh-CN"/>
              </w:rPr>
            </w:pPr>
          </w:p>
          <w:p w14:paraId="5E2E7D37">
            <w:pPr>
              <w:spacing w:line="500" w:lineRule="exact"/>
              <w:ind w:firstLine="440"/>
              <w:textAlignment w:val="center"/>
              <w:rPr>
                <w:rFonts w:ascii="宋体" w:hAnsi="宋体" w:eastAsia="宋体" w:cs="宋体"/>
                <w:color w:val="auto"/>
                <w:sz w:val="22"/>
                <w:szCs w:val="22"/>
                <w:lang w:val="zh-CN" w:bidi="zh-CN"/>
              </w:rPr>
            </w:pPr>
          </w:p>
          <w:p w14:paraId="54BC3853">
            <w:pPr>
              <w:spacing w:line="500" w:lineRule="exact"/>
              <w:ind w:firstLine="440"/>
              <w:textAlignment w:val="center"/>
              <w:rPr>
                <w:rFonts w:ascii="宋体" w:hAnsi="宋体" w:eastAsia="宋体" w:cs="宋体"/>
                <w:color w:val="auto"/>
                <w:sz w:val="22"/>
                <w:szCs w:val="22"/>
                <w:lang w:val="zh-CN" w:bidi="zh-CN"/>
              </w:rPr>
            </w:pPr>
          </w:p>
          <w:p w14:paraId="1CAFAF8C">
            <w:pPr>
              <w:spacing w:line="500" w:lineRule="exact"/>
              <w:ind w:firstLine="440"/>
              <w:textAlignment w:val="center"/>
              <w:rPr>
                <w:rFonts w:ascii="宋体" w:hAnsi="宋体" w:eastAsia="宋体" w:cs="宋体"/>
                <w:color w:val="auto"/>
                <w:sz w:val="22"/>
                <w:szCs w:val="22"/>
                <w:lang w:val="zh-CN" w:bidi="zh-CN"/>
              </w:rPr>
            </w:pPr>
          </w:p>
          <w:p w14:paraId="597129D5">
            <w:pPr>
              <w:spacing w:line="500" w:lineRule="exact"/>
              <w:ind w:firstLine="220" w:firstLineChars="100"/>
              <w:textAlignment w:val="center"/>
              <w:rPr>
                <w:rFonts w:hint="eastAsia" w:ascii="宋体" w:hAnsi="宋体" w:eastAsia="宋体" w:cs="宋体"/>
                <w:color w:val="auto"/>
                <w:sz w:val="22"/>
                <w:szCs w:val="22"/>
                <w:lang w:val="zh-CN" w:bidi="zh-CN"/>
              </w:rPr>
            </w:pPr>
          </w:p>
          <w:p w14:paraId="7FFC2666">
            <w:pPr>
              <w:spacing w:line="500" w:lineRule="exact"/>
              <w:ind w:firstLine="220" w:firstLineChars="100"/>
              <w:textAlignment w:val="center"/>
              <w:rPr>
                <w:rFonts w:hint="eastAsia" w:ascii="宋体" w:hAnsi="宋体" w:eastAsia="宋体" w:cs="宋体"/>
                <w:color w:val="auto"/>
                <w:sz w:val="22"/>
                <w:szCs w:val="22"/>
                <w:lang w:val="zh-CN" w:bidi="zh-CN"/>
              </w:rPr>
            </w:pPr>
          </w:p>
          <w:p w14:paraId="5AC0387A">
            <w:pPr>
              <w:spacing w:line="500" w:lineRule="exact"/>
              <w:ind w:firstLine="220" w:firstLineChars="100"/>
              <w:textAlignment w:val="center"/>
              <w:rPr>
                <w:rFonts w:hint="eastAsia" w:ascii="宋体" w:hAnsi="宋体" w:eastAsia="宋体" w:cs="宋体"/>
                <w:color w:val="auto"/>
                <w:sz w:val="22"/>
                <w:szCs w:val="22"/>
                <w:lang w:val="zh-CN" w:bidi="zh-CN"/>
              </w:rPr>
            </w:pPr>
          </w:p>
          <w:p w14:paraId="52DDA3DF">
            <w:pPr>
              <w:spacing w:line="500" w:lineRule="exact"/>
              <w:ind w:firstLine="220" w:firstLineChars="100"/>
              <w:textAlignment w:val="center"/>
              <w:rPr>
                <w:rFonts w:hint="eastAsia" w:ascii="宋体" w:hAnsi="宋体" w:eastAsia="宋体" w:cs="宋体"/>
                <w:color w:val="auto"/>
                <w:sz w:val="22"/>
                <w:szCs w:val="22"/>
                <w:lang w:val="zh-CN" w:bidi="zh-CN"/>
              </w:rPr>
            </w:pPr>
          </w:p>
          <w:p w14:paraId="31C4BC42">
            <w:pPr>
              <w:spacing w:line="500" w:lineRule="exact"/>
              <w:ind w:firstLine="220" w:firstLineChars="100"/>
              <w:textAlignment w:val="center"/>
              <w:rPr>
                <w:rFonts w:hint="eastAsia" w:ascii="宋体" w:hAnsi="宋体" w:eastAsia="宋体" w:cs="宋体"/>
                <w:color w:val="auto"/>
                <w:sz w:val="22"/>
                <w:szCs w:val="22"/>
                <w:lang w:val="zh-CN" w:bidi="zh-CN"/>
              </w:rPr>
            </w:pPr>
          </w:p>
          <w:p w14:paraId="33204546">
            <w:pPr>
              <w:spacing w:line="500" w:lineRule="exact"/>
              <w:ind w:firstLine="220" w:firstLineChars="100"/>
              <w:textAlignment w:val="center"/>
              <w:rPr>
                <w:rFonts w:hint="eastAsia" w:ascii="宋体" w:hAnsi="宋体" w:eastAsia="宋体" w:cs="宋体"/>
                <w:color w:val="auto"/>
                <w:sz w:val="22"/>
                <w:szCs w:val="22"/>
                <w:lang w:val="zh-CN" w:bidi="zh-CN"/>
              </w:rPr>
            </w:pPr>
          </w:p>
          <w:p w14:paraId="73B1EBB1">
            <w:pPr>
              <w:spacing w:line="500" w:lineRule="exact"/>
              <w:ind w:firstLine="220" w:firstLineChars="100"/>
              <w:textAlignment w:val="center"/>
              <w:rPr>
                <w:rFonts w:hint="eastAsia" w:ascii="宋体" w:hAnsi="宋体" w:eastAsia="宋体" w:cs="宋体"/>
                <w:color w:val="auto"/>
                <w:sz w:val="22"/>
                <w:szCs w:val="22"/>
                <w:lang w:val="zh-CN" w:bidi="zh-CN"/>
              </w:rPr>
            </w:pPr>
          </w:p>
          <w:p w14:paraId="74EBB879">
            <w:pPr>
              <w:spacing w:line="500" w:lineRule="exact"/>
              <w:ind w:firstLine="220" w:firstLineChars="100"/>
              <w:textAlignment w:val="center"/>
              <w:rPr>
                <w:rFonts w:asciiTheme="minorEastAsia" w:hAnsiTheme="minorEastAsia" w:eastAsiaTheme="minorEastAsia" w:cstheme="minorEastAsia"/>
                <w:b/>
                <w:bCs/>
                <w:color w:val="auto"/>
                <w:sz w:val="22"/>
                <w:szCs w:val="22"/>
              </w:rPr>
            </w:pPr>
            <w:r>
              <w:rPr>
                <w:rFonts w:hint="eastAsia" w:ascii="宋体" w:hAnsi="宋体" w:eastAsia="宋体" w:cs="宋体"/>
                <w:color w:val="auto"/>
                <w:sz w:val="22"/>
                <w:szCs w:val="22"/>
                <w:lang w:val="zh-CN" w:bidi="zh-CN"/>
              </w:rPr>
              <w:t>5分</w:t>
            </w:r>
          </w:p>
        </w:tc>
        <w:tc>
          <w:tcPr>
            <w:tcW w:w="6465" w:type="dxa"/>
          </w:tcPr>
          <w:p w14:paraId="640259E7">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CE66626">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ED6C824">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C4210BD">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30850B4D">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86C9FD1">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41AF3A9">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四、企业业绩（3分）</w:t>
            </w:r>
          </w:p>
          <w:p w14:paraId="379C4D18">
            <w:pPr>
              <w:spacing w:line="500" w:lineRule="exact"/>
              <w:ind w:firstLine="440"/>
              <w:textAlignment w:val="center"/>
              <w:rPr>
                <w:rFonts w:cs="宋体" w:asciiTheme="minorEastAsia" w:hAnsiTheme="minorEastAsia" w:eastAsiaTheme="minorEastAsia"/>
                <w:color w:val="auto"/>
                <w:sz w:val="22"/>
                <w:szCs w:val="22"/>
              </w:rPr>
            </w:pPr>
            <w:r>
              <w:rPr>
                <w:rFonts w:hint="eastAsia" w:cs="宋体" w:asciiTheme="minorEastAsia" w:hAnsiTheme="minorEastAsia" w:eastAsiaTheme="minorEastAsia"/>
                <w:color w:val="auto"/>
                <w:sz w:val="22"/>
                <w:szCs w:val="22"/>
              </w:rPr>
              <w:t>投标人自2023年1月1日以来至投标截止时间止，</w:t>
            </w:r>
            <w:r>
              <w:rPr>
                <w:rFonts w:hint="eastAsia" w:asciiTheme="minorEastAsia" w:hAnsiTheme="minorEastAsia" w:eastAsiaTheme="minorEastAsia" w:cstheme="minorEastAsia"/>
                <w:color w:val="auto"/>
                <w:sz w:val="22"/>
                <w:szCs w:val="22"/>
              </w:rPr>
              <w:t>（以最终合同签订时间为准）具有不低于100万元动力电池</w:t>
            </w:r>
            <w:r>
              <w:rPr>
                <w:rFonts w:hint="eastAsia" w:asciiTheme="minorEastAsia" w:hAnsiTheme="minorEastAsia" w:eastAsiaTheme="minorEastAsia" w:cstheme="minorEastAsia"/>
                <w:bCs/>
                <w:color w:val="auto"/>
                <w:sz w:val="22"/>
                <w:szCs w:val="22"/>
              </w:rPr>
              <w:t>供货及安装</w:t>
            </w:r>
            <w:r>
              <w:rPr>
                <w:rFonts w:hint="eastAsia" w:asciiTheme="minorEastAsia" w:hAnsiTheme="minorEastAsia" w:eastAsiaTheme="minorEastAsia" w:cstheme="minorEastAsia"/>
                <w:color w:val="auto"/>
                <w:sz w:val="22"/>
                <w:szCs w:val="22"/>
              </w:rPr>
              <w:t>业绩；每提供一份以上供货业绩得1分，最高得3分。</w:t>
            </w:r>
          </w:p>
          <w:p w14:paraId="7757782B">
            <w:pPr>
              <w:spacing w:line="500" w:lineRule="exact"/>
              <w:ind w:firstLine="442"/>
              <w:textAlignment w:val="center"/>
              <w:rPr>
                <w:rFonts w:ascii="宋体" w:hAnsi="宋体" w:eastAsia="宋体" w:cs="宋体"/>
                <w:color w:val="auto"/>
                <w:kern w:val="0"/>
                <w:sz w:val="22"/>
                <w:szCs w:val="22"/>
              </w:rPr>
            </w:pPr>
            <w:r>
              <w:rPr>
                <w:rFonts w:hint="eastAsia" w:asciiTheme="minorEastAsia" w:hAnsiTheme="minorEastAsia" w:eastAsiaTheme="minorEastAsia" w:cstheme="minorEastAsia"/>
                <w:b/>
                <w:bCs/>
                <w:color w:val="auto"/>
                <w:sz w:val="22"/>
                <w:szCs w:val="22"/>
              </w:rPr>
              <w:t>注：1、在投标文件中提供业绩证明材料原件扫描件；2、业绩证明材料应能够清晰、明确反映投标人名称、合同签订时间、项目内容等主要信息，如未提供或提供不全或提供不清晰均不得分</w:t>
            </w:r>
            <w:r>
              <w:rPr>
                <w:rFonts w:hint="eastAsia" w:asciiTheme="minorEastAsia" w:hAnsiTheme="minorEastAsia" w:eastAsiaTheme="minorEastAsia" w:cstheme="minorEastAsia"/>
                <w:color w:val="auto"/>
                <w:sz w:val="22"/>
                <w:szCs w:val="22"/>
              </w:rPr>
              <w:t>。</w:t>
            </w:r>
          </w:p>
          <w:p w14:paraId="36E44B21">
            <w:pPr>
              <w:numPr>
                <w:ilvl w:val="0"/>
                <w:numId w:val="6"/>
              </w:numPr>
              <w:spacing w:line="500" w:lineRule="exact"/>
              <w:ind w:firstLine="442"/>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其他（2分）</w:t>
            </w:r>
          </w:p>
          <w:p w14:paraId="166ABA0F">
            <w:pPr>
              <w:ind w:firstLine="44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 w:val="22"/>
                <w:szCs w:val="22"/>
                <w:highlight w:val="white"/>
              </w:rPr>
              <w:t>投标人所投产品售后服务站点距离安徽交运集团怀宁公交有限公司停保场公路里程在100KM内的得2分，无售后服务站点的或不满足距离要求的不得分。</w:t>
            </w:r>
          </w:p>
          <w:p w14:paraId="222C92CA">
            <w:pPr>
              <w:pStyle w:val="71"/>
              <w:ind w:firstLine="221"/>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注：</w:t>
            </w:r>
            <w:r>
              <w:rPr>
                <w:rFonts w:hint="eastAsia" w:asciiTheme="minorEastAsia" w:hAnsiTheme="minorEastAsia" w:eastAsiaTheme="minorEastAsia" w:cstheme="minorEastAsia"/>
                <w:b/>
                <w:bCs/>
                <w:color w:val="auto"/>
                <w:sz w:val="22"/>
                <w:szCs w:val="22"/>
                <w:highlight w:val="white"/>
              </w:rPr>
              <w:t>提供盖章的高德地图或百度地图售后服务站公路导航距离截图证明材料</w:t>
            </w:r>
            <w:r>
              <w:rPr>
                <w:rFonts w:hint="eastAsia" w:asciiTheme="minorEastAsia" w:hAnsiTheme="minorEastAsia" w:eastAsiaTheme="minorEastAsia" w:cstheme="minorEastAsia"/>
                <w:b/>
                <w:bCs/>
                <w:color w:val="auto"/>
                <w:sz w:val="22"/>
                <w:szCs w:val="22"/>
              </w:rPr>
              <w:t>。</w:t>
            </w:r>
          </w:p>
        </w:tc>
        <w:tc>
          <w:tcPr>
            <w:tcW w:w="1470" w:type="dxa"/>
          </w:tcPr>
          <w:p w14:paraId="0FF0316D">
            <w:pPr>
              <w:spacing w:line="500" w:lineRule="exact"/>
              <w:ind w:firstLine="440"/>
              <w:textAlignment w:val="center"/>
              <w:rPr>
                <w:rFonts w:hint="eastAsia" w:asciiTheme="minorEastAsia" w:hAnsiTheme="minorEastAsia" w:eastAsiaTheme="minorEastAsia" w:cstheme="minorEastAsia"/>
                <w:color w:val="auto"/>
                <w:sz w:val="22"/>
                <w:szCs w:val="22"/>
              </w:rPr>
            </w:pPr>
          </w:p>
          <w:p w14:paraId="1D4B3A05">
            <w:pPr>
              <w:spacing w:line="500" w:lineRule="exact"/>
              <w:ind w:firstLine="440"/>
              <w:textAlignment w:val="center"/>
              <w:rPr>
                <w:rFonts w:hint="eastAsia" w:asciiTheme="minorEastAsia" w:hAnsiTheme="minorEastAsia" w:eastAsiaTheme="minorEastAsia" w:cstheme="minorEastAsia"/>
                <w:color w:val="auto"/>
                <w:sz w:val="22"/>
                <w:szCs w:val="22"/>
              </w:rPr>
            </w:pPr>
          </w:p>
          <w:p w14:paraId="5B132650">
            <w:pPr>
              <w:spacing w:line="500" w:lineRule="exact"/>
              <w:ind w:firstLine="440"/>
              <w:textAlignment w:val="center"/>
              <w:rPr>
                <w:rFonts w:hint="eastAsia" w:asciiTheme="minorEastAsia" w:hAnsiTheme="minorEastAsia" w:eastAsiaTheme="minorEastAsia" w:cstheme="minorEastAsia"/>
                <w:color w:val="auto"/>
                <w:sz w:val="22"/>
                <w:szCs w:val="22"/>
              </w:rPr>
            </w:pPr>
          </w:p>
          <w:p w14:paraId="59A9F9AC">
            <w:pPr>
              <w:spacing w:line="500" w:lineRule="exact"/>
              <w:ind w:firstLine="440"/>
              <w:textAlignment w:val="center"/>
              <w:rPr>
                <w:rFonts w:hint="eastAsia" w:asciiTheme="minorEastAsia" w:hAnsiTheme="minorEastAsia" w:eastAsiaTheme="minorEastAsia" w:cstheme="minorEastAsia"/>
                <w:color w:val="auto"/>
                <w:sz w:val="22"/>
                <w:szCs w:val="22"/>
              </w:rPr>
            </w:pPr>
          </w:p>
          <w:p w14:paraId="4FEE8715">
            <w:pPr>
              <w:spacing w:line="500" w:lineRule="exact"/>
              <w:ind w:firstLine="440"/>
              <w:textAlignment w:val="center"/>
              <w:rPr>
                <w:rFonts w:hint="eastAsia" w:asciiTheme="minorEastAsia" w:hAnsiTheme="minorEastAsia" w:eastAsiaTheme="minorEastAsia" w:cstheme="minorEastAsia"/>
                <w:color w:val="auto"/>
                <w:sz w:val="22"/>
                <w:szCs w:val="22"/>
              </w:rPr>
            </w:pPr>
          </w:p>
          <w:p w14:paraId="3460322F">
            <w:pPr>
              <w:spacing w:line="500" w:lineRule="exact"/>
              <w:ind w:firstLine="440"/>
              <w:textAlignment w:val="center"/>
              <w:rPr>
                <w:rFonts w:hint="eastAsia" w:asciiTheme="minorEastAsia" w:hAnsiTheme="minorEastAsia" w:eastAsiaTheme="minorEastAsia" w:cstheme="minorEastAsia"/>
                <w:color w:val="auto"/>
                <w:sz w:val="22"/>
                <w:szCs w:val="22"/>
              </w:rPr>
            </w:pPr>
          </w:p>
          <w:p w14:paraId="4E9E584D">
            <w:pPr>
              <w:spacing w:line="500" w:lineRule="exact"/>
              <w:ind w:firstLine="440"/>
              <w:textAlignment w:val="center"/>
              <w:rPr>
                <w:rFonts w:hint="eastAsia" w:asciiTheme="minorEastAsia" w:hAnsiTheme="minorEastAsia" w:eastAsiaTheme="minorEastAsia" w:cstheme="minorEastAsia"/>
                <w:color w:val="auto"/>
                <w:sz w:val="22"/>
                <w:szCs w:val="22"/>
              </w:rPr>
            </w:pPr>
          </w:p>
          <w:p w14:paraId="1DEA3222">
            <w:pPr>
              <w:spacing w:line="500" w:lineRule="exact"/>
              <w:ind w:firstLine="440"/>
              <w:textAlignment w:val="center"/>
              <w:rPr>
                <w:rFonts w:hint="eastAsia" w:asciiTheme="minorEastAsia" w:hAnsiTheme="minorEastAsia" w:eastAsiaTheme="minorEastAsia" w:cstheme="minorEastAsia"/>
                <w:color w:val="auto"/>
                <w:sz w:val="22"/>
                <w:szCs w:val="22"/>
              </w:rPr>
            </w:pPr>
          </w:p>
          <w:p w14:paraId="185901FA">
            <w:pPr>
              <w:spacing w:line="500" w:lineRule="exact"/>
              <w:ind w:firstLine="440"/>
              <w:textAlignment w:val="center"/>
              <w:rPr>
                <w:rFonts w:hint="eastAsia" w:asciiTheme="minorEastAsia" w:hAnsiTheme="minorEastAsia" w:eastAsiaTheme="minorEastAsia" w:cstheme="minorEastAsia"/>
                <w:color w:val="auto"/>
                <w:sz w:val="22"/>
                <w:szCs w:val="22"/>
              </w:rPr>
            </w:pPr>
          </w:p>
          <w:p w14:paraId="2EF2EDAA">
            <w:pPr>
              <w:spacing w:line="500" w:lineRule="exact"/>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color w:val="auto"/>
                <w:sz w:val="22"/>
                <w:szCs w:val="22"/>
              </w:rPr>
              <w:t>评审时核验业绩合同书扫描件</w:t>
            </w:r>
          </w:p>
        </w:tc>
      </w:tr>
    </w:tbl>
    <w:p w14:paraId="4A18B188">
      <w:pPr>
        <w:spacing w:line="500" w:lineRule="exact"/>
        <w:ind w:firstLine="442"/>
        <w:textAlignment w:val="center"/>
        <w:rPr>
          <w:rFonts w:asciiTheme="minorEastAsia" w:hAnsiTheme="minorEastAsia" w:eastAsiaTheme="minorEastAsia" w:cstheme="minorEastAsia"/>
          <w:b/>
          <w:bCs/>
          <w:color w:val="auto"/>
          <w:sz w:val="22"/>
          <w:szCs w:val="22"/>
        </w:rPr>
      </w:pPr>
    </w:p>
    <w:p w14:paraId="34654FB5">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2.技术标评审细则（31分）</w:t>
      </w:r>
    </w:p>
    <w:tbl>
      <w:tblPr>
        <w:tblStyle w:val="25"/>
        <w:tblW w:w="6432" w:type="pct"/>
        <w:tblInd w:w="-1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397"/>
        <w:gridCol w:w="841"/>
        <w:gridCol w:w="6452"/>
        <w:gridCol w:w="1469"/>
      </w:tblGrid>
      <w:tr w14:paraId="6E20D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366" w:type="pct"/>
            <w:vAlign w:val="center"/>
          </w:tcPr>
          <w:p w14:paraId="0FCCF7CF">
            <w:pPr>
              <w:spacing w:line="500" w:lineRule="exact"/>
              <w:ind w:firstLine="220" w:firstLineChars="10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w:t>
            </w:r>
          </w:p>
        </w:tc>
        <w:tc>
          <w:tcPr>
            <w:tcW w:w="637" w:type="pct"/>
            <w:vAlign w:val="center"/>
          </w:tcPr>
          <w:p w14:paraId="2D15CD1E">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采购需求和技术参数相应</w:t>
            </w:r>
          </w:p>
        </w:tc>
        <w:tc>
          <w:tcPr>
            <w:tcW w:w="383" w:type="pct"/>
            <w:vAlign w:val="center"/>
          </w:tcPr>
          <w:p w14:paraId="65CF2417">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bidi="zh-CN"/>
              </w:rPr>
              <w:t>20</w:t>
            </w:r>
            <w:r>
              <w:rPr>
                <w:rFonts w:hint="eastAsia" w:ascii="宋体" w:hAnsi="宋体" w:eastAsia="宋体" w:cs="宋体"/>
                <w:color w:val="auto"/>
                <w:sz w:val="22"/>
                <w:szCs w:val="22"/>
                <w:lang w:val="zh-CN" w:bidi="zh-CN"/>
              </w:rPr>
              <w:t>分</w:t>
            </w:r>
          </w:p>
        </w:tc>
        <w:tc>
          <w:tcPr>
            <w:tcW w:w="2942" w:type="pct"/>
          </w:tcPr>
          <w:p w14:paraId="47144EDD">
            <w:pPr>
              <w:spacing w:line="500" w:lineRule="exact"/>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color w:val="auto"/>
                <w:sz w:val="22"/>
                <w:szCs w:val="22"/>
              </w:rPr>
              <w:t>投标人所投电池基本满足招标文件要求的得20分，加★项必须全部满足，否则，符合性不通过，投标无效；其他没有标注★项的，每有一项不满足扣2分，扣完为止。</w:t>
            </w:r>
            <w:r>
              <w:rPr>
                <w:rFonts w:hint="eastAsia" w:asciiTheme="minorEastAsia" w:hAnsiTheme="minorEastAsia" w:eastAsiaTheme="minorEastAsia" w:cstheme="minorEastAsia"/>
                <w:b/>
                <w:bCs/>
                <w:color w:val="auto"/>
                <w:sz w:val="22"/>
                <w:szCs w:val="22"/>
              </w:rPr>
              <w:t>（以投标文件中技术响应表及要求提供的相关证明材料为依据）。</w:t>
            </w:r>
          </w:p>
        </w:tc>
        <w:tc>
          <w:tcPr>
            <w:tcW w:w="669" w:type="pct"/>
            <w:vAlign w:val="center"/>
          </w:tcPr>
          <w:p w14:paraId="2E83F449">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评审时核验电子标书中有效证明材料扫描件</w:t>
            </w:r>
          </w:p>
        </w:tc>
      </w:tr>
      <w:tr w14:paraId="3B6D8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366" w:type="pct"/>
            <w:vAlign w:val="center"/>
          </w:tcPr>
          <w:p w14:paraId="033A7BF8">
            <w:pPr>
              <w:spacing w:line="500" w:lineRule="exact"/>
              <w:ind w:firstLine="220" w:firstLineChars="10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2</w:t>
            </w:r>
          </w:p>
        </w:tc>
        <w:tc>
          <w:tcPr>
            <w:tcW w:w="637" w:type="pct"/>
            <w:vAlign w:val="center"/>
          </w:tcPr>
          <w:p w14:paraId="594E8BD2">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换电方案、售后服务以及旧电池回收</w:t>
            </w:r>
          </w:p>
        </w:tc>
        <w:tc>
          <w:tcPr>
            <w:tcW w:w="383" w:type="pct"/>
            <w:vAlign w:val="center"/>
          </w:tcPr>
          <w:p w14:paraId="785E10E5">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11分</w:t>
            </w:r>
          </w:p>
        </w:tc>
        <w:tc>
          <w:tcPr>
            <w:tcW w:w="2942" w:type="pct"/>
          </w:tcPr>
          <w:p w14:paraId="600865C6">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换电方案（3分）</w:t>
            </w:r>
          </w:p>
          <w:p w14:paraId="159F3E86">
            <w:pPr>
              <w:spacing w:after="120" w:line="500" w:lineRule="exact"/>
              <w:ind w:firstLine="440"/>
              <w:textAlignment w:val="center"/>
              <w:rPr>
                <w:rFonts w:asciiTheme="minorEastAsia" w:hAnsiTheme="minorEastAsia" w:eastAsiaTheme="minorEastAsia" w:cstheme="minorEastAsia"/>
                <w:strike/>
                <w:color w:val="auto"/>
                <w:sz w:val="22"/>
                <w:szCs w:val="22"/>
              </w:rPr>
            </w:pPr>
            <w:r>
              <w:rPr>
                <w:rFonts w:hint="eastAsia" w:asciiTheme="minorEastAsia" w:hAnsiTheme="minorEastAsia" w:eastAsiaTheme="minorEastAsia" w:cstheme="minorEastAsia"/>
                <w:color w:val="auto"/>
                <w:sz w:val="22"/>
                <w:szCs w:val="22"/>
              </w:rPr>
              <w:t>根据投标人所提供的换电方案进行打分。内容完整、详细具体、科学合理、措施可靠、针对性强，得3分；内容较完整、组织较严谨、针对性较强，得2分；内容不全面、针对性不强，不可行的，得1分；没有内容不得分。</w:t>
            </w:r>
          </w:p>
          <w:p w14:paraId="0F70E533">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售后服务（3分）</w:t>
            </w:r>
          </w:p>
          <w:p w14:paraId="554D9BDE">
            <w:pPr>
              <w:spacing w:line="500" w:lineRule="exact"/>
              <w:ind w:firstLine="220" w:firstLineChars="1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据各投标人响应招标文件有关售后服务要求并针对本项目提供具体的售后服务方案，如响应时间、上门时间、售后服务人员配置进行打分。内容全面、条理清晰、流程规范得3分；内容基本详实、有一定条理性、流程规范性较好，得2分；内容粗略、条理性牵强、流程规范性欠缺得1分；没有内容不得分。</w:t>
            </w:r>
          </w:p>
          <w:p w14:paraId="1702F7F4">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应对突发事件预案（3分）</w:t>
            </w:r>
          </w:p>
          <w:p w14:paraId="54F9710B">
            <w:pPr>
              <w:spacing w:line="500" w:lineRule="exact"/>
              <w:ind w:firstLine="220" w:firstLineChars="1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据投标人所提供的应对突发事件预案方案进行打分。内容完整、详细具体、科学合理、措施可靠、可行性强，得3分；内容较完整、组织较严谨、可行性较强，得2分；内容不全面、针对性不强的，得1分；没有内容不得分。</w:t>
            </w:r>
          </w:p>
          <w:p w14:paraId="2DB1E771">
            <w:pPr>
              <w:numPr>
                <w:ilvl w:val="0"/>
                <w:numId w:val="7"/>
              </w:numPr>
              <w:spacing w:line="500" w:lineRule="exact"/>
              <w:ind w:firstLine="442"/>
              <w:textAlignment w:val="center"/>
              <w:rPr>
                <w:rFonts w:hint="eastAsia"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原车旧动力电池回收（2分）</w:t>
            </w:r>
          </w:p>
          <w:p w14:paraId="2FD0CE7A">
            <w:pPr>
              <w:pStyle w:val="71"/>
              <w:rPr>
                <w:rFonts w:hint="eastAsia" w:asciiTheme="minorEastAsia" w:hAnsiTheme="minorEastAsia" w:eastAsiaTheme="minorEastAsia" w:cstheme="minorEastAsia"/>
                <w:color w:val="auto"/>
                <w:kern w:val="2"/>
                <w:sz w:val="22"/>
                <w:szCs w:val="22"/>
                <w:lang w:val="en-US" w:eastAsia="zh-CN" w:bidi="ar-SA"/>
              </w:rPr>
            </w:pPr>
            <w:r>
              <w:rPr>
                <w:rFonts w:hint="eastAsia" w:asciiTheme="minorEastAsia" w:hAnsiTheme="minorEastAsia" w:eastAsiaTheme="minorEastAsia" w:cstheme="minorEastAsia"/>
                <w:color w:val="auto"/>
                <w:kern w:val="2"/>
                <w:sz w:val="22"/>
                <w:szCs w:val="22"/>
                <w:lang w:val="en-US" w:eastAsia="zh-CN" w:bidi="ar-SA"/>
              </w:rPr>
              <w:t>原车旧动力电池回收价格投标人承诺每度电不低于70元的得1分，在每度电70元的基础上每增加10元一度电得0.1分，本项最高得分为2分。</w:t>
            </w:r>
          </w:p>
          <w:p w14:paraId="59D6683A">
            <w:pPr>
              <w:pStyle w:val="71"/>
              <w:rPr>
                <w:color w:val="auto"/>
              </w:rPr>
            </w:pPr>
            <w:r>
              <w:rPr>
                <w:rFonts w:hint="eastAsia" w:asciiTheme="minorEastAsia" w:hAnsiTheme="minorEastAsia" w:eastAsiaTheme="minorEastAsia" w:cstheme="minorEastAsia"/>
                <w:b/>
                <w:bCs/>
                <w:color w:val="auto"/>
                <w:kern w:val="2"/>
                <w:sz w:val="22"/>
                <w:szCs w:val="22"/>
                <w:lang w:val="en-US" w:eastAsia="zh-CN" w:bidi="ar-SA"/>
              </w:rPr>
              <w:t>注：投标人提供承诺书并加盖公章。</w:t>
            </w:r>
          </w:p>
        </w:tc>
        <w:tc>
          <w:tcPr>
            <w:tcW w:w="669" w:type="pct"/>
            <w:vAlign w:val="center"/>
          </w:tcPr>
          <w:p w14:paraId="00E360DB">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评审时核验电子标书中有效证明材料扫描件</w:t>
            </w:r>
          </w:p>
        </w:tc>
      </w:tr>
    </w:tbl>
    <w:p w14:paraId="1A7234C1">
      <w:pPr>
        <w:spacing w:line="500" w:lineRule="exact"/>
        <w:ind w:firstLine="440"/>
        <w:textAlignment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注：各评委得分的平均值为投标人技术标得分，分值保留两位小数点。</w:t>
      </w:r>
    </w:p>
    <w:p w14:paraId="68414C6C">
      <w:pPr>
        <w:pStyle w:val="2"/>
      </w:pPr>
    </w:p>
    <w:p w14:paraId="4DDCE425">
      <w:pPr>
        <w:numPr>
          <w:ilvl w:val="0"/>
          <w:numId w:val="8"/>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商务标评审细则（40分）</w:t>
      </w:r>
    </w:p>
    <w:tbl>
      <w:tblPr>
        <w:tblStyle w:val="25"/>
        <w:tblpPr w:leftFromText="180" w:rightFromText="180" w:vertAnchor="text" w:horzAnchor="page" w:tblpX="640" w:tblpY="647"/>
        <w:tblOverlap w:val="never"/>
        <w:tblW w:w="1099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365"/>
        <w:gridCol w:w="855"/>
        <w:gridCol w:w="7935"/>
      </w:tblGrid>
      <w:tr w14:paraId="009522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trPr>
        <w:tc>
          <w:tcPr>
            <w:tcW w:w="840" w:type="dxa"/>
            <w:noWrap/>
            <w:vAlign w:val="center"/>
          </w:tcPr>
          <w:p w14:paraId="54B1EF3E">
            <w:pPr>
              <w:snapToGrid w:val="0"/>
              <w:spacing w:line="288" w:lineRule="auto"/>
              <w:jc w:val="both"/>
              <w:rPr>
                <w:rFonts w:ascii="宋体" w:hAnsi="宋体" w:cs="宋体"/>
                <w:color w:val="auto"/>
                <w:szCs w:val="21"/>
              </w:rPr>
            </w:pPr>
            <w:r>
              <w:rPr>
                <w:rFonts w:hint="eastAsia" w:asciiTheme="minorEastAsia" w:hAnsiTheme="minorEastAsia" w:eastAsiaTheme="minorEastAsia" w:cstheme="minorEastAsia"/>
                <w:b/>
                <w:bCs/>
                <w:color w:val="auto"/>
                <w:szCs w:val="21"/>
              </w:rPr>
              <w:t>序号</w:t>
            </w:r>
          </w:p>
        </w:tc>
        <w:tc>
          <w:tcPr>
            <w:tcW w:w="1365" w:type="dxa"/>
            <w:noWrap/>
            <w:vAlign w:val="center"/>
          </w:tcPr>
          <w:p w14:paraId="7FDE7AE8">
            <w:pPr>
              <w:snapToGrid w:val="0"/>
              <w:spacing w:line="288" w:lineRule="auto"/>
              <w:ind w:firstLine="211" w:firstLineChars="100"/>
              <w:jc w:val="both"/>
              <w:rPr>
                <w:rFonts w:ascii="宋体" w:hAnsi="宋体" w:cs="宋体"/>
                <w:color w:val="auto"/>
                <w:szCs w:val="21"/>
              </w:rPr>
            </w:pPr>
            <w:r>
              <w:rPr>
                <w:rFonts w:hint="eastAsia" w:asciiTheme="minorEastAsia" w:hAnsiTheme="minorEastAsia" w:eastAsiaTheme="minorEastAsia" w:cstheme="minorEastAsia"/>
                <w:b/>
                <w:bCs/>
                <w:color w:val="auto"/>
                <w:szCs w:val="21"/>
              </w:rPr>
              <w:t>评分因素</w:t>
            </w:r>
          </w:p>
        </w:tc>
        <w:tc>
          <w:tcPr>
            <w:tcW w:w="855" w:type="dxa"/>
            <w:noWrap/>
            <w:vAlign w:val="center"/>
          </w:tcPr>
          <w:p w14:paraId="08575F89">
            <w:pPr>
              <w:snapToGrid w:val="0"/>
              <w:spacing w:line="288" w:lineRule="auto"/>
              <w:jc w:val="both"/>
              <w:rPr>
                <w:rFonts w:ascii="宋体" w:hAnsi="宋体" w:eastAsia="宋体" w:cs="宋体"/>
                <w:color w:val="auto"/>
                <w:szCs w:val="21"/>
              </w:rPr>
            </w:pPr>
            <w:r>
              <w:rPr>
                <w:rFonts w:hint="eastAsia" w:asciiTheme="minorEastAsia" w:hAnsiTheme="minorEastAsia" w:eastAsiaTheme="minorEastAsia" w:cstheme="minorEastAsia"/>
                <w:b/>
                <w:bCs/>
                <w:color w:val="auto"/>
                <w:szCs w:val="21"/>
              </w:rPr>
              <w:t>权重分值（单位：分）</w:t>
            </w:r>
          </w:p>
        </w:tc>
        <w:tc>
          <w:tcPr>
            <w:tcW w:w="7935" w:type="dxa"/>
            <w:noWrap/>
            <w:vAlign w:val="center"/>
          </w:tcPr>
          <w:p w14:paraId="67295477">
            <w:pPr>
              <w:snapToGrid w:val="0"/>
              <w:spacing w:line="288" w:lineRule="auto"/>
              <w:ind w:firstLine="2376" w:firstLineChars="1127"/>
              <w:jc w:val="both"/>
              <w:rPr>
                <w:rFonts w:ascii="宋体" w:hAnsi="宋体" w:cs="宋体"/>
                <w:color w:val="auto"/>
                <w:szCs w:val="21"/>
              </w:rPr>
            </w:pPr>
            <w:r>
              <w:rPr>
                <w:rFonts w:hint="eastAsia" w:asciiTheme="minorEastAsia" w:hAnsiTheme="minorEastAsia" w:eastAsiaTheme="minorEastAsia" w:cstheme="minorEastAsia"/>
                <w:b/>
                <w:bCs/>
                <w:color w:val="auto"/>
                <w:szCs w:val="21"/>
              </w:rPr>
              <w:t>各评分因素细分项分值</w:t>
            </w:r>
          </w:p>
        </w:tc>
      </w:tr>
      <w:tr w14:paraId="5AC87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840" w:type="dxa"/>
            <w:noWrap/>
            <w:vAlign w:val="center"/>
          </w:tcPr>
          <w:p w14:paraId="16DDE7B6">
            <w:pPr>
              <w:snapToGrid w:val="0"/>
              <w:spacing w:line="288" w:lineRule="auto"/>
              <w:jc w:val="both"/>
              <w:rPr>
                <w:rFonts w:ascii="宋体" w:hAnsi="宋体" w:cs="宋体"/>
                <w:color w:val="auto"/>
                <w:szCs w:val="21"/>
              </w:rPr>
            </w:pPr>
            <w:r>
              <w:rPr>
                <w:rFonts w:hint="eastAsia" w:ascii="宋体" w:hAnsi="宋体" w:cs="宋体"/>
                <w:color w:val="auto"/>
                <w:sz w:val="22"/>
                <w:szCs w:val="21"/>
              </w:rPr>
              <w:t>（1）</w:t>
            </w:r>
          </w:p>
        </w:tc>
        <w:tc>
          <w:tcPr>
            <w:tcW w:w="1365" w:type="dxa"/>
            <w:noWrap/>
            <w:vAlign w:val="center"/>
          </w:tcPr>
          <w:p w14:paraId="33D01587">
            <w:pPr>
              <w:snapToGrid w:val="0"/>
              <w:spacing w:line="288" w:lineRule="auto"/>
              <w:ind w:firstLine="420" w:firstLineChars="200"/>
              <w:jc w:val="both"/>
              <w:rPr>
                <w:rFonts w:ascii="宋体" w:hAnsi="宋体" w:eastAsia="宋体" w:cs="宋体"/>
                <w:color w:val="auto"/>
                <w:szCs w:val="21"/>
              </w:rPr>
            </w:pPr>
            <w:r>
              <w:rPr>
                <w:rFonts w:hint="eastAsia" w:asciiTheme="minorEastAsia" w:hAnsiTheme="minorEastAsia" w:eastAsiaTheme="minorEastAsia" w:cstheme="minorEastAsia"/>
                <w:color w:val="auto"/>
                <w:szCs w:val="21"/>
              </w:rPr>
              <w:t>报价</w:t>
            </w:r>
          </w:p>
        </w:tc>
        <w:tc>
          <w:tcPr>
            <w:tcW w:w="855" w:type="dxa"/>
            <w:noWrap/>
            <w:vAlign w:val="center"/>
          </w:tcPr>
          <w:p w14:paraId="5FF2C818">
            <w:pPr>
              <w:snapToGrid w:val="0"/>
              <w:spacing w:line="288" w:lineRule="auto"/>
              <w:ind w:firstLine="210" w:firstLineChars="100"/>
              <w:jc w:val="both"/>
              <w:rPr>
                <w:rFonts w:ascii="宋体" w:hAnsi="宋体" w:cs="宋体"/>
                <w:color w:val="auto"/>
                <w:szCs w:val="21"/>
              </w:rPr>
            </w:pPr>
            <w:r>
              <w:rPr>
                <w:rFonts w:hint="eastAsia" w:ascii="宋体" w:hAnsi="宋体" w:cs="宋体"/>
                <w:color w:val="auto"/>
                <w:szCs w:val="21"/>
              </w:rPr>
              <w:t>40</w:t>
            </w:r>
          </w:p>
        </w:tc>
        <w:tc>
          <w:tcPr>
            <w:tcW w:w="7935" w:type="dxa"/>
            <w:noWrap/>
            <w:vAlign w:val="center"/>
          </w:tcPr>
          <w:p w14:paraId="4F969F8C">
            <w:pPr>
              <w:spacing w:line="352" w:lineRule="exact"/>
              <w:ind w:right="20"/>
              <w:rPr>
                <w:color w:val="auto"/>
                <w:sz w:val="20"/>
              </w:rPr>
            </w:pPr>
            <w:r>
              <w:rPr>
                <w:rFonts w:ascii="宋体" w:hAnsi="宋体" w:eastAsia="宋体" w:cs="宋体"/>
                <w:color w:val="auto"/>
              </w:rPr>
              <w:t>采用低价优先法计算，即满足招标文件要求且投标书中每度电的最低投标报价为评标基准价，其价格为满分</w:t>
            </w:r>
            <w:r>
              <w:rPr>
                <w:rFonts w:hint="eastAsia" w:ascii="宋体" w:hAnsi="宋体" w:eastAsia="宋体" w:cs="宋体"/>
                <w:color w:val="auto"/>
              </w:rPr>
              <w:t>40分</w:t>
            </w:r>
            <w:r>
              <w:rPr>
                <w:rFonts w:ascii="宋体" w:hAnsi="宋体" w:eastAsia="宋体" w:cs="宋体"/>
                <w:color w:val="auto"/>
              </w:rPr>
              <w:t>。其他投标人的价格得分按照下列公式计算：投标报价得分=（评标基准价/投标报价）×</w:t>
            </w:r>
            <w:r>
              <w:rPr>
                <w:rFonts w:hint="eastAsia" w:ascii="宋体" w:hAnsi="宋体" w:eastAsia="宋体" w:cs="宋体"/>
                <w:color w:val="auto"/>
              </w:rPr>
              <w:t>40</w:t>
            </w:r>
            <w:r>
              <w:rPr>
                <w:rFonts w:ascii="宋体" w:hAnsi="宋体" w:eastAsia="宋体" w:cs="宋体"/>
                <w:color w:val="auto"/>
              </w:rPr>
              <w:t>（计算得分时，分值保留小数点后二位，第三位四舍五入）。</w:t>
            </w:r>
          </w:p>
          <w:p w14:paraId="06A88C0C">
            <w:pPr>
              <w:spacing w:line="202" w:lineRule="exact"/>
              <w:rPr>
                <w:color w:val="auto"/>
                <w:sz w:val="20"/>
              </w:rPr>
            </w:pPr>
          </w:p>
          <w:p w14:paraId="05D65CBA">
            <w:pPr>
              <w:spacing w:line="360" w:lineRule="exact"/>
              <w:rPr>
                <w:color w:val="auto"/>
                <w:sz w:val="20"/>
              </w:rPr>
            </w:pPr>
            <w:r>
              <w:rPr>
                <w:rFonts w:ascii="宋体" w:hAnsi="宋体" w:eastAsia="宋体" w:cs="宋体"/>
                <w:b/>
                <w:bCs/>
                <w:color w:val="auto"/>
              </w:rPr>
              <w:t>（依据中华人民共和国财政部令第 87 号《政府采购货物和服务招标投标管理办法》第六十条：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B563338">
            <w:pPr>
              <w:snapToGrid w:val="0"/>
              <w:spacing w:line="288" w:lineRule="auto"/>
              <w:ind w:firstLine="480"/>
              <w:rPr>
                <w:rFonts w:ascii="宋体" w:hAnsi="宋体" w:cs="宋体"/>
                <w:color w:val="auto"/>
                <w:szCs w:val="21"/>
              </w:rPr>
            </w:pPr>
          </w:p>
        </w:tc>
      </w:tr>
    </w:tbl>
    <w:p w14:paraId="28FFF141">
      <w:pPr>
        <w:spacing w:line="500" w:lineRule="exact"/>
        <w:ind w:firstLine="442"/>
        <w:textAlignment w:val="center"/>
        <w:rPr>
          <w:rFonts w:asciiTheme="minorEastAsia" w:hAnsiTheme="minorEastAsia" w:eastAsiaTheme="minorEastAsia" w:cstheme="minorEastAsia"/>
          <w:b/>
          <w:bCs/>
          <w:color w:val="auto"/>
          <w:sz w:val="22"/>
          <w:szCs w:val="22"/>
        </w:rPr>
      </w:pPr>
    </w:p>
    <w:p w14:paraId="58ADF5F5">
      <w:pPr>
        <w:spacing w:line="360" w:lineRule="auto"/>
        <w:rPr>
          <w:rFonts w:asciiTheme="minorEastAsia" w:hAnsiTheme="minorEastAsia" w:eastAsiaTheme="minorEastAsia"/>
          <w:color w:val="auto"/>
          <w:sz w:val="24"/>
        </w:rPr>
      </w:pPr>
      <w:r>
        <w:rPr>
          <w:rFonts w:hint="eastAsia" w:asciiTheme="minorEastAsia" w:hAnsiTheme="minorEastAsia" w:eastAsiaTheme="minorEastAsia"/>
          <w:color w:val="auto"/>
          <w:sz w:val="24"/>
        </w:rPr>
        <w:t>2.3.3分值汇总</w:t>
      </w:r>
    </w:p>
    <w:p w14:paraId="14447665">
      <w:pPr>
        <w:spacing w:line="360" w:lineRule="auto"/>
        <w:ind w:firstLine="480"/>
        <w:rPr>
          <w:rFonts w:asciiTheme="minorEastAsia" w:hAnsiTheme="minorEastAsia" w:eastAsiaTheme="minorEastAsia"/>
          <w:color w:val="auto"/>
          <w:sz w:val="24"/>
        </w:rPr>
      </w:pPr>
      <w:r>
        <w:rPr>
          <w:rFonts w:hint="eastAsia" w:asciiTheme="minorEastAsia" w:hAnsiTheme="minorEastAsia" w:eastAsiaTheme="minorEastAsia"/>
          <w:color w:val="auto"/>
          <w:sz w:val="24"/>
        </w:rPr>
        <w:t>（1）评标委员会各成员应</w:t>
      </w:r>
      <w:r>
        <w:rPr>
          <w:rFonts w:asciiTheme="minorEastAsia" w:hAnsiTheme="minorEastAsia" w:eastAsiaTheme="minorEastAsia"/>
          <w:color w:val="auto"/>
          <w:sz w:val="24"/>
        </w:rPr>
        <w:t>当独立对每个</w:t>
      </w:r>
      <w:r>
        <w:rPr>
          <w:rFonts w:hint="eastAsia" w:asciiTheme="minorEastAsia" w:hAnsiTheme="minorEastAsia" w:eastAsiaTheme="minorEastAsia"/>
          <w:color w:val="auto"/>
          <w:sz w:val="24"/>
        </w:rPr>
        <w:t>有效</w:t>
      </w:r>
      <w:r>
        <w:rPr>
          <w:rFonts w:asciiTheme="minorEastAsia" w:hAnsiTheme="minorEastAsia" w:eastAsiaTheme="minorEastAsia"/>
          <w:color w:val="auto"/>
          <w:sz w:val="24"/>
        </w:rPr>
        <w:t>投标人的投标文件进行评</w:t>
      </w:r>
      <w:r>
        <w:rPr>
          <w:rFonts w:hint="eastAsia" w:asciiTheme="minorEastAsia" w:hAnsiTheme="minorEastAsia" w:eastAsiaTheme="minorEastAsia"/>
          <w:color w:val="auto"/>
          <w:sz w:val="24"/>
        </w:rPr>
        <w:t>分</w:t>
      </w:r>
      <w:r>
        <w:rPr>
          <w:rFonts w:asciiTheme="minorEastAsia" w:hAnsiTheme="minorEastAsia" w:eastAsiaTheme="minorEastAsia"/>
          <w:color w:val="auto"/>
          <w:sz w:val="24"/>
        </w:rPr>
        <w:t>，并汇总每个投</w:t>
      </w:r>
      <w:r>
        <w:rPr>
          <w:rFonts w:hint="eastAsia" w:asciiTheme="minorEastAsia" w:hAnsiTheme="minorEastAsia" w:eastAsiaTheme="minorEastAsia"/>
          <w:color w:val="auto"/>
          <w:sz w:val="24"/>
        </w:rPr>
        <w:t>标人的得分。取各位评委评分之平均值，四舍五入保留至小数点后两位数，</w:t>
      </w:r>
      <w:r>
        <w:rPr>
          <w:rFonts w:asciiTheme="minorEastAsia" w:hAnsiTheme="minorEastAsia" w:eastAsiaTheme="minorEastAsia"/>
          <w:color w:val="auto"/>
          <w:sz w:val="24"/>
        </w:rPr>
        <w:t>得到该投标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的技术资信分</w:t>
      </w:r>
      <w:r>
        <w:rPr>
          <w:rFonts w:hint="eastAsia" w:asciiTheme="minorEastAsia" w:hAnsiTheme="minorEastAsia" w:eastAsiaTheme="minorEastAsia"/>
          <w:color w:val="auto"/>
          <w:sz w:val="24"/>
        </w:rPr>
        <w:t>。</w:t>
      </w:r>
    </w:p>
    <w:p w14:paraId="74798791">
      <w:pPr>
        <w:spacing w:line="360" w:lineRule="auto"/>
        <w:ind w:firstLine="480"/>
        <w:outlineLvl w:val="1"/>
        <w:rPr>
          <w:rFonts w:asciiTheme="minorEastAsia" w:hAnsiTheme="minorEastAsia" w:eastAsiaTheme="minorEastAsia"/>
          <w:color w:val="auto"/>
          <w:sz w:val="24"/>
        </w:rPr>
      </w:pPr>
      <w:r>
        <w:rPr>
          <w:rFonts w:hint="eastAsia" w:asciiTheme="minorEastAsia" w:hAnsiTheme="minorEastAsia" w:eastAsiaTheme="minorEastAsia"/>
          <w:color w:val="auto"/>
          <w:sz w:val="24"/>
        </w:rPr>
        <w:t>（2）</w:t>
      </w:r>
      <w:r>
        <w:rPr>
          <w:rFonts w:asciiTheme="minorEastAsia" w:hAnsiTheme="minorEastAsia" w:eastAsiaTheme="minorEastAsia"/>
          <w:color w:val="auto"/>
          <w:sz w:val="24"/>
        </w:rPr>
        <w:t>将投标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的技术资信分加上根据上述标准计算出的价格分，即为该投标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的综合总得分。</w:t>
      </w:r>
    </w:p>
    <w:p w14:paraId="68547D42">
      <w:pPr>
        <w:pStyle w:val="2"/>
        <w:rPr>
          <w:rFonts w:asciiTheme="minorEastAsia" w:hAnsiTheme="minorEastAsia" w:eastAsiaTheme="minorEastAsia"/>
          <w:color w:val="auto"/>
          <w:sz w:val="24"/>
        </w:rPr>
      </w:pPr>
    </w:p>
    <w:p w14:paraId="1D187996">
      <w:pPr>
        <w:rPr>
          <w:rFonts w:asciiTheme="minorEastAsia" w:hAnsiTheme="minorEastAsia" w:eastAsiaTheme="minorEastAsia"/>
          <w:color w:val="auto"/>
          <w:sz w:val="24"/>
        </w:rPr>
      </w:pPr>
    </w:p>
    <w:p w14:paraId="16D3AF9D">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评审方法</w:t>
      </w:r>
    </w:p>
    <w:p w14:paraId="5FC7670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本次评审采用综合评分法。</w:t>
      </w:r>
      <w:r>
        <w:rPr>
          <w:rFonts w:hint="eastAsia" w:ascii="Times New Roman" w:hAnsi="Times New Roman" w:eastAsia="宋体" w:cs="Times New Roman"/>
          <w:szCs w:val="24"/>
        </w:rPr>
        <w:t>评审小组</w:t>
      </w:r>
      <w:r>
        <w:rPr>
          <w:rFonts w:ascii="Times New Roman" w:hAnsi="Times New Roman" w:eastAsia="宋体" w:cs="Times New Roman"/>
          <w:szCs w:val="24"/>
        </w:rPr>
        <w:t>对满足询比文件实质性要求的响应文件按照本章第2.2款的规定的评分标准进行打分，按照得分由高到低依次推荐成交候选人。如得分相同的，按照评审办法前附表中的规定确定成交候选人顺序。</w:t>
      </w:r>
    </w:p>
    <w:p w14:paraId="772C234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A7DA8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3EC0B2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2.1.1 形式评审标准：见</w:t>
      </w:r>
      <w:r>
        <w:rPr>
          <w:rFonts w:hint="eastAsia" w:ascii="Times New Roman" w:hAnsi="Times New Roman" w:eastAsia="宋体" w:cs="Times New Roman"/>
          <w:szCs w:val="24"/>
        </w:rPr>
        <w:t>评标方法和标准</w:t>
      </w:r>
    </w:p>
    <w:p w14:paraId="0A6511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2.1.2 资格评审标准：见</w:t>
      </w:r>
      <w:r>
        <w:rPr>
          <w:rFonts w:hint="eastAsia" w:ascii="Times New Roman" w:hAnsi="Times New Roman" w:eastAsia="宋体" w:cs="Times New Roman"/>
          <w:szCs w:val="24"/>
        </w:rPr>
        <w:t>评标方法和标准</w:t>
      </w:r>
    </w:p>
    <w:p w14:paraId="27B172A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2.1.3 响应性评审标准：见</w:t>
      </w:r>
      <w:r>
        <w:rPr>
          <w:rFonts w:hint="eastAsia" w:ascii="Times New Roman" w:hAnsi="Times New Roman" w:eastAsia="宋体" w:cs="Times New Roman"/>
          <w:szCs w:val="24"/>
        </w:rPr>
        <w:t>评标方法和标准</w:t>
      </w:r>
    </w:p>
    <w:p w14:paraId="29CE55E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270EE6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2.2.1分值构成：</w:t>
      </w:r>
    </w:p>
    <w:p w14:paraId="0844A962">
      <w:pPr>
        <w:numPr>
          <w:ilvl w:val="0"/>
          <w:numId w:val="9"/>
        </w:numPr>
        <w:spacing w:line="440" w:lineRule="exact"/>
        <w:ind w:firstLine="420"/>
        <w:rPr>
          <w:rFonts w:hint="eastAsia" w:ascii="Times New Roman" w:hAnsi="Times New Roman" w:eastAsia="宋体" w:cs="Times New Roman"/>
          <w:szCs w:val="24"/>
        </w:rPr>
      </w:pPr>
      <w:r>
        <w:rPr>
          <w:rFonts w:hint="eastAsia" w:ascii="Times New Roman" w:hAnsi="Times New Roman" w:eastAsia="宋体" w:cs="Times New Roman"/>
          <w:szCs w:val="24"/>
        </w:rPr>
        <w:t>技术性能</w:t>
      </w:r>
      <w:r>
        <w:rPr>
          <w:rFonts w:ascii="Times New Roman" w:hAnsi="Times New Roman" w:eastAsia="宋体" w:cs="Times New Roman"/>
          <w:szCs w:val="24"/>
        </w:rPr>
        <w:t>：见</w:t>
      </w:r>
      <w:r>
        <w:rPr>
          <w:rFonts w:hint="eastAsia" w:ascii="Times New Roman" w:hAnsi="Times New Roman" w:eastAsia="宋体" w:cs="Times New Roman"/>
          <w:szCs w:val="24"/>
        </w:rPr>
        <w:t>评标方法和标准</w:t>
      </w:r>
    </w:p>
    <w:p w14:paraId="1ADF028A">
      <w:pPr>
        <w:numPr>
          <w:ilvl w:val="0"/>
          <w:numId w:val="0"/>
        </w:num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评审价</w:t>
      </w:r>
      <w:r>
        <w:rPr>
          <w:rFonts w:ascii="Times New Roman" w:hAnsi="Times New Roman" w:eastAsia="宋体" w:cs="Times New Roman"/>
          <w:szCs w:val="24"/>
        </w:rPr>
        <w:t>：</w:t>
      </w:r>
      <w:r>
        <w:rPr>
          <w:rFonts w:hint="eastAsia" w:ascii="Times New Roman" w:hAnsi="Times New Roman" w:eastAsia="宋体" w:cs="Times New Roman"/>
          <w:szCs w:val="24"/>
          <w:lang w:val="en-US" w:eastAsia="zh-CN"/>
        </w:rPr>
        <w:t>见</w:t>
      </w:r>
      <w:r>
        <w:rPr>
          <w:rFonts w:hint="eastAsia" w:ascii="Times New Roman" w:hAnsi="Times New Roman" w:eastAsia="宋体" w:cs="Times New Roman"/>
          <w:szCs w:val="24"/>
        </w:rPr>
        <w:t>评标方法和标准</w:t>
      </w:r>
      <w:r>
        <w:rPr>
          <w:rFonts w:ascii="Times New Roman" w:hAnsi="Times New Roman" w:eastAsia="宋体" w:cs="Times New Roman"/>
          <w:szCs w:val="24"/>
        </w:rPr>
        <w:t>。</w:t>
      </w:r>
    </w:p>
    <w:p w14:paraId="48B887D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2.2.2 评审基准价计算</w:t>
      </w:r>
    </w:p>
    <w:p w14:paraId="1353FD4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评审基准价计算方法：见</w:t>
      </w:r>
      <w:r>
        <w:rPr>
          <w:rFonts w:hint="eastAsia" w:ascii="Times New Roman" w:hAnsi="Times New Roman" w:eastAsia="宋体" w:cs="Times New Roman"/>
          <w:szCs w:val="24"/>
        </w:rPr>
        <w:t>评标方法和标准</w:t>
      </w:r>
    </w:p>
    <w:p w14:paraId="75A60702">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2.2.3 评审价的偏差率计算</w:t>
      </w:r>
    </w:p>
    <w:p w14:paraId="146EEA7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评审价的偏差率计算公式：见</w:t>
      </w:r>
      <w:r>
        <w:rPr>
          <w:rFonts w:hint="eastAsia" w:ascii="Times New Roman" w:hAnsi="Times New Roman" w:eastAsia="宋体" w:cs="Times New Roman"/>
          <w:szCs w:val="24"/>
        </w:rPr>
        <w:t>评标方法和标准</w:t>
      </w:r>
    </w:p>
    <w:p w14:paraId="10121C2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2.2.4评分标准：</w:t>
      </w:r>
    </w:p>
    <w:p w14:paraId="239AEBAE">
      <w:pPr>
        <w:numPr>
          <w:ilvl w:val="0"/>
          <w:numId w:val="10"/>
        </w:numPr>
        <w:spacing w:line="440" w:lineRule="exact"/>
        <w:ind w:firstLine="420"/>
        <w:rPr>
          <w:rFonts w:hint="eastAsia" w:ascii="Times New Roman" w:hAnsi="Times New Roman" w:eastAsia="宋体" w:cs="Times New Roman"/>
          <w:szCs w:val="24"/>
        </w:rPr>
      </w:pPr>
      <w:r>
        <w:rPr>
          <w:rFonts w:hint="eastAsia" w:ascii="Times New Roman" w:hAnsi="Times New Roman" w:eastAsia="宋体" w:cs="Times New Roman"/>
          <w:szCs w:val="24"/>
        </w:rPr>
        <w:t>技术性能</w:t>
      </w:r>
      <w:r>
        <w:rPr>
          <w:rFonts w:ascii="Times New Roman" w:hAnsi="Times New Roman" w:eastAsia="宋体" w:cs="Times New Roman"/>
          <w:szCs w:val="24"/>
        </w:rPr>
        <w:t>评分标准：见</w:t>
      </w:r>
      <w:r>
        <w:rPr>
          <w:rFonts w:hint="eastAsia" w:ascii="Times New Roman" w:hAnsi="Times New Roman" w:eastAsia="宋体" w:cs="Times New Roman"/>
          <w:szCs w:val="24"/>
        </w:rPr>
        <w:t>评标方法和标准</w:t>
      </w:r>
    </w:p>
    <w:p w14:paraId="7D6D215D">
      <w:pPr>
        <w:numPr>
          <w:ilvl w:val="0"/>
          <w:numId w:val="0"/>
        </w:num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评审价</w:t>
      </w:r>
      <w:r>
        <w:rPr>
          <w:rFonts w:ascii="Times New Roman" w:hAnsi="Times New Roman" w:eastAsia="宋体" w:cs="Times New Roman"/>
          <w:szCs w:val="24"/>
        </w:rPr>
        <w:t>评分标准：见</w:t>
      </w:r>
      <w:r>
        <w:rPr>
          <w:rFonts w:hint="eastAsia" w:ascii="Times New Roman" w:hAnsi="Times New Roman" w:eastAsia="宋体" w:cs="Times New Roman"/>
          <w:szCs w:val="24"/>
        </w:rPr>
        <w:t>评标方法和标准</w:t>
      </w:r>
    </w:p>
    <w:p w14:paraId="7E2A04E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85B1E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D4E55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3.1.1</w:t>
      </w:r>
      <w:r>
        <w:rPr>
          <w:rFonts w:hint="eastAsia" w:ascii="Times New Roman" w:hAnsi="Times New Roman" w:eastAsia="宋体" w:cs="Times New Roman"/>
          <w:szCs w:val="24"/>
        </w:rPr>
        <w:t>评审小组</w:t>
      </w:r>
      <w:r>
        <w:rPr>
          <w:rFonts w:ascii="Times New Roman" w:hAnsi="Times New Roman" w:eastAsia="宋体" w:cs="Times New Roman"/>
          <w:szCs w:val="24"/>
        </w:rPr>
        <w:t>依据本章第2.1.1项、第2.1.2项、第2.1.3项规定的标准对响应文件进行评审。有一项不符合评审标准的，</w:t>
      </w:r>
      <w:r>
        <w:rPr>
          <w:rFonts w:hint="eastAsia" w:ascii="Times New Roman" w:hAnsi="Times New Roman" w:eastAsia="宋体" w:cs="Times New Roman"/>
          <w:szCs w:val="24"/>
        </w:rPr>
        <w:t>评审小组</w:t>
      </w:r>
      <w:r>
        <w:rPr>
          <w:rFonts w:ascii="Times New Roman" w:hAnsi="Times New Roman" w:eastAsia="宋体" w:cs="Times New Roman"/>
          <w:szCs w:val="24"/>
        </w:rPr>
        <w:t>应否决其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29BD12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3.1.</w:t>
      </w:r>
      <w:r>
        <w:rPr>
          <w:rFonts w:hint="eastAsia" w:ascii="Times New Roman" w:hAnsi="Times New Roman" w:eastAsia="宋体" w:cs="Times New Roman"/>
          <w:szCs w:val="24"/>
        </w:rPr>
        <w:t xml:space="preserve">2 </w:t>
      </w:r>
      <w:r>
        <w:rPr>
          <w:rFonts w:ascii="Times New Roman" w:hAnsi="Times New Roman" w:eastAsia="宋体" w:cs="Times New Roman"/>
          <w:szCs w:val="24"/>
        </w:rPr>
        <w:t>响应文件中填报的报价、</w:t>
      </w:r>
      <w:r>
        <w:rPr>
          <w:rFonts w:hint="eastAsia" w:ascii="Times New Roman" w:hAnsi="Times New Roman" w:eastAsia="宋体" w:cs="Times New Roman"/>
          <w:szCs w:val="24"/>
        </w:rPr>
        <w:t>交货期</w:t>
      </w:r>
      <w:r>
        <w:rPr>
          <w:rFonts w:ascii="Times New Roman" w:hAnsi="Times New Roman" w:eastAsia="宋体" w:cs="Times New Roman"/>
          <w:szCs w:val="24"/>
        </w:rPr>
        <w:t>、质量标准前后不一致时，</w:t>
      </w:r>
      <w:r>
        <w:rPr>
          <w:rFonts w:hint="eastAsia" w:ascii="Times New Roman" w:hAnsi="Times New Roman" w:eastAsia="宋体" w:cs="Times New Roman"/>
          <w:szCs w:val="24"/>
        </w:rPr>
        <w:t>按细微偏差处理，并</w:t>
      </w:r>
      <w:r>
        <w:rPr>
          <w:rFonts w:ascii="Times New Roman" w:hAnsi="Times New Roman" w:eastAsia="宋体" w:cs="Times New Roman"/>
          <w:szCs w:val="24"/>
        </w:rPr>
        <w:t>以报价函填报的为准</w:t>
      </w:r>
      <w:r>
        <w:rPr>
          <w:rFonts w:hint="eastAsia" w:ascii="Times New Roman" w:hAnsi="Times New Roman" w:eastAsia="宋体" w:cs="Times New Roman"/>
          <w:szCs w:val="24"/>
        </w:rPr>
        <w:t>。</w:t>
      </w:r>
    </w:p>
    <w:p w14:paraId="614F1758">
      <w:pPr>
        <w:keepNext/>
        <w:keepLines/>
        <w:spacing w:before="120" w:after="120"/>
        <w:outlineLvl w:val="2"/>
        <w:rPr>
          <w:rFonts w:ascii="Times New Roman" w:hAnsi="Times New Roman" w:eastAsia="宋体" w:cs="Times New Roman"/>
          <w:szCs w:val="24"/>
        </w:rPr>
      </w:pPr>
      <w:r>
        <w:rPr>
          <w:rFonts w:ascii="Times New Roman" w:hAnsi="Times New Roman" w:eastAsia="黑体" w:cs="Times New Roman"/>
          <w:bCs/>
          <w:sz w:val="24"/>
          <w:szCs w:val="32"/>
        </w:rPr>
        <w:t>3.2 详细评审</w:t>
      </w:r>
    </w:p>
    <w:p w14:paraId="10385B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 xml:space="preserve">3.2.1 </w:t>
      </w:r>
      <w:r>
        <w:rPr>
          <w:rFonts w:hint="eastAsia" w:ascii="Times New Roman" w:hAnsi="Times New Roman" w:eastAsia="宋体" w:cs="Times New Roman"/>
          <w:szCs w:val="24"/>
        </w:rPr>
        <w:t>评审小组</w:t>
      </w:r>
      <w:r>
        <w:rPr>
          <w:rFonts w:ascii="Times New Roman" w:hAnsi="Times New Roman" w:eastAsia="宋体" w:cs="Times New Roman"/>
          <w:szCs w:val="24"/>
        </w:rPr>
        <w:t>按本章第2.2款规定的量化因素和分值进行打分，并计算出综合评估得分。</w:t>
      </w:r>
    </w:p>
    <w:p w14:paraId="1A1F1188">
      <w:p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（1）按本章第2.2.4(1)目规定的评审因素和分值对</w:t>
      </w:r>
      <w:r>
        <w:rPr>
          <w:rFonts w:hint="eastAsia" w:ascii="Times New Roman" w:hAnsi="Times New Roman" w:eastAsia="宋体" w:cs="Times New Roman"/>
          <w:szCs w:val="24"/>
        </w:rPr>
        <w:t>技术性能</w:t>
      </w:r>
      <w:r>
        <w:rPr>
          <w:rFonts w:ascii="Times New Roman" w:hAnsi="Times New Roman" w:eastAsia="宋体" w:cs="Times New Roman"/>
          <w:szCs w:val="24"/>
        </w:rPr>
        <w:t>计算出得分I；</w:t>
      </w:r>
    </w:p>
    <w:p w14:paraId="4FDA4AE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（2）按本章第2.2.4(2)目规定的评审因素和分值对</w:t>
      </w:r>
      <w:r>
        <w:rPr>
          <w:rFonts w:hint="eastAsia" w:ascii="Times New Roman" w:hAnsi="Times New Roman" w:eastAsia="宋体" w:cs="Times New Roman"/>
          <w:szCs w:val="24"/>
        </w:rPr>
        <w:t>评审价</w:t>
      </w:r>
      <w:r>
        <w:rPr>
          <w:rFonts w:ascii="Times New Roman" w:hAnsi="Times New Roman" w:eastAsia="宋体" w:cs="Times New Roman"/>
          <w:szCs w:val="24"/>
        </w:rPr>
        <w:t>计算出得分II。</w:t>
      </w:r>
    </w:p>
    <w:p w14:paraId="2E6335A2">
      <w:pPr>
        <w:spacing w:line="40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3.2.2 评分分值计算保留小数点后两位，小数点后第三位“四舍五入”。</w:t>
      </w:r>
    </w:p>
    <w:p w14:paraId="33DDBB3E">
      <w:pPr>
        <w:spacing w:line="40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 xml:space="preserve">3.2.3 </w:t>
      </w:r>
      <w:r>
        <w:rPr>
          <w:rFonts w:hint="eastAsia" w:ascii="Times New Roman" w:hAnsi="Times New Roman" w:eastAsia="宋体" w:cs="Times New Roman"/>
          <w:szCs w:val="24"/>
        </w:rPr>
        <w:t>评审小组成员对</w:t>
      </w:r>
      <w:r>
        <w:rPr>
          <w:rFonts w:ascii="Times New Roman" w:hAnsi="Times New Roman" w:eastAsia="宋体" w:cs="Times New Roman"/>
          <w:szCs w:val="24"/>
        </w:rPr>
        <w:t>供应商</w:t>
      </w:r>
      <w:r>
        <w:rPr>
          <w:rFonts w:hint="eastAsia" w:ascii="Times New Roman" w:hAnsi="Times New Roman" w:eastAsia="宋体" w:cs="Times New Roman"/>
          <w:szCs w:val="24"/>
        </w:rPr>
        <w:t>综合评分=I</w:t>
      </w:r>
      <w:r>
        <w:rPr>
          <w:rFonts w:ascii="Times New Roman" w:hAnsi="Times New Roman" w:eastAsia="宋体" w:cs="Times New Roman"/>
          <w:szCs w:val="24"/>
        </w:rPr>
        <w:t>+</w:t>
      </w:r>
      <w:r>
        <w:rPr>
          <w:rFonts w:hint="eastAsia" w:ascii="Times New Roman" w:hAnsi="Times New Roman" w:eastAsia="宋体" w:cs="Times New Roman"/>
          <w:szCs w:val="24"/>
        </w:rPr>
        <w:t>II，供应商最终得分为各评审小组成员评分的算数平均值</w:t>
      </w:r>
      <w:r>
        <w:rPr>
          <w:rFonts w:ascii="Times New Roman" w:hAnsi="Times New Roman" w:eastAsia="宋体" w:cs="Times New Roman"/>
          <w:szCs w:val="24"/>
        </w:rPr>
        <w:t>。</w:t>
      </w:r>
    </w:p>
    <w:p w14:paraId="4982FDD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F61C2ED">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评审小组</w:t>
      </w:r>
      <w:r>
        <w:rPr>
          <w:rFonts w:ascii="Times New Roman" w:hAnsi="Times New Roman" w:eastAsia="宋体" w:cs="Times New Roman"/>
          <w:szCs w:val="24"/>
        </w:rPr>
        <w:t>应对在评审过程中发现供应商存在串通报价、弄虚作假、行贿等违法行为的，</w:t>
      </w:r>
      <w:r>
        <w:rPr>
          <w:rFonts w:hint="eastAsia" w:ascii="Times New Roman" w:hAnsi="Times New Roman" w:eastAsia="宋体" w:cs="Times New Roman"/>
          <w:szCs w:val="24"/>
        </w:rPr>
        <w:t>评审小组</w:t>
      </w:r>
      <w:r>
        <w:rPr>
          <w:rFonts w:ascii="Times New Roman" w:hAnsi="Times New Roman" w:eastAsia="宋体" w:cs="Times New Roman"/>
          <w:szCs w:val="24"/>
        </w:rPr>
        <w:t>应否决其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0B9D8D8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992AA3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3.4.1 在评审过程中，</w:t>
      </w:r>
      <w:r>
        <w:rPr>
          <w:rFonts w:hint="eastAsia" w:ascii="Times New Roman" w:hAnsi="Times New Roman" w:eastAsia="宋体" w:cs="Times New Roman"/>
          <w:szCs w:val="24"/>
        </w:rPr>
        <w:t>评审小组</w:t>
      </w:r>
      <w:r>
        <w:rPr>
          <w:rFonts w:ascii="Times New Roman" w:hAnsi="Times New Roman" w:eastAsia="宋体" w:cs="Times New Roman"/>
          <w:szCs w:val="24"/>
        </w:rPr>
        <w:t>可以书面形式要求供应商对响应文件中含义不明确、对同类问题表述不一致或者有明显文字</w:t>
      </w:r>
      <w:r>
        <w:rPr>
          <w:rFonts w:hint="eastAsia" w:ascii="Times New Roman" w:hAnsi="Times New Roman" w:eastAsia="宋体" w:cs="Times New Roman"/>
          <w:szCs w:val="24"/>
        </w:rPr>
        <w:t>错误</w:t>
      </w:r>
      <w:r>
        <w:rPr>
          <w:rFonts w:ascii="Times New Roman" w:hAnsi="Times New Roman" w:eastAsia="宋体" w:cs="Times New Roman"/>
          <w:szCs w:val="24"/>
        </w:rPr>
        <w:t>的内容做必要的澄清。</w:t>
      </w:r>
      <w:r>
        <w:rPr>
          <w:rFonts w:hint="eastAsia" w:ascii="Times New Roman" w:hAnsi="Times New Roman" w:eastAsia="宋体" w:cs="Times New Roman"/>
          <w:szCs w:val="24"/>
        </w:rPr>
        <w:t>评审小组</w:t>
      </w:r>
      <w:r>
        <w:rPr>
          <w:rFonts w:ascii="Times New Roman" w:hAnsi="Times New Roman" w:eastAsia="宋体" w:cs="Times New Roman"/>
          <w:szCs w:val="24"/>
        </w:rPr>
        <w:t>不接受供应商主动提出的澄清。</w:t>
      </w:r>
    </w:p>
    <w:p w14:paraId="1F0ED6F7">
      <w:pPr>
        <w:spacing w:line="440" w:lineRule="exact"/>
        <w:ind w:firstLine="420"/>
        <w:rPr>
          <w:rFonts w:ascii="Times New Roman" w:hAnsi="Times New Roman" w:eastAsia="宋体" w:cs="Times New Roman"/>
          <w:strike/>
          <w:szCs w:val="24"/>
        </w:rPr>
      </w:pPr>
      <w:r>
        <w:rPr>
          <w:rFonts w:ascii="Times New Roman" w:hAnsi="Times New Roman" w:eastAsia="宋体" w:cs="Times New Roman"/>
          <w:szCs w:val="24"/>
        </w:rPr>
        <w:t>3.4.2 澄清不得超出响应文件的范围且不得改变响应文件的实质性内容，并构成响应文件的组成部分。</w:t>
      </w:r>
    </w:p>
    <w:p w14:paraId="5EBB3D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637738B6">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评审小组</w:t>
      </w:r>
      <w:r>
        <w:rPr>
          <w:rFonts w:ascii="Times New Roman" w:hAnsi="Times New Roman" w:eastAsia="宋体" w:cs="Times New Roman"/>
          <w:szCs w:val="24"/>
        </w:rPr>
        <w:t>完成评审后，应当向采购人提交评审报告。评审报告应当如实记载以下内容：</w:t>
      </w:r>
    </w:p>
    <w:p w14:paraId="72E5359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（一）采购项目基本情况</w:t>
      </w:r>
    </w:p>
    <w:p w14:paraId="1486D9B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（二）采购过程回顾</w:t>
      </w:r>
    </w:p>
    <w:p w14:paraId="22EB906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（三）评审小组成员名单</w:t>
      </w:r>
    </w:p>
    <w:p w14:paraId="11237E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（四）询比评审工作</w:t>
      </w:r>
    </w:p>
    <w:p w14:paraId="000AA26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1、评审办法</w:t>
      </w:r>
    </w:p>
    <w:p w14:paraId="18726CE2">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2、初步评审情况（资格审查、形式性审查、响应性审查）</w:t>
      </w:r>
    </w:p>
    <w:p w14:paraId="5F4AFD5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详细评审情况（</w:t>
      </w:r>
      <w:r>
        <w:rPr>
          <w:rFonts w:ascii="Times New Roman" w:hAnsi="Times New Roman" w:eastAsia="宋体" w:cs="Times New Roman"/>
          <w:szCs w:val="24"/>
        </w:rPr>
        <w:t>供应商的</w:t>
      </w:r>
      <w:r>
        <w:rPr>
          <w:rFonts w:hint="eastAsia" w:ascii="Times New Roman" w:hAnsi="Times New Roman" w:eastAsia="宋体" w:cs="Times New Roman"/>
          <w:szCs w:val="24"/>
        </w:rPr>
        <w:t>综合</w:t>
      </w:r>
      <w:r>
        <w:rPr>
          <w:rFonts w:ascii="Times New Roman" w:hAnsi="Times New Roman" w:eastAsia="宋体" w:cs="Times New Roman"/>
          <w:szCs w:val="24"/>
        </w:rPr>
        <w:t>评分情况</w:t>
      </w:r>
      <w:r>
        <w:rPr>
          <w:rFonts w:hint="eastAsia" w:ascii="Times New Roman" w:hAnsi="Times New Roman" w:eastAsia="宋体" w:cs="Times New Roman"/>
          <w:szCs w:val="24"/>
        </w:rPr>
        <w:t>）</w:t>
      </w:r>
    </w:p>
    <w:p w14:paraId="146C994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4、否决的供应商名单以及否决理由（如有）</w:t>
      </w:r>
    </w:p>
    <w:p w14:paraId="2FB30B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5、推荐候选供应商排序</w:t>
      </w:r>
    </w:p>
    <w:p w14:paraId="1DCFA34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（五）需要说明的其他事项</w:t>
      </w:r>
    </w:p>
    <w:p w14:paraId="0737A24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（六）评审附表</w:t>
      </w:r>
    </w:p>
    <w:p w14:paraId="38F1128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1、响应文</w:t>
      </w:r>
      <w:r>
        <w:rPr>
          <w:rFonts w:hint="eastAsia" w:ascii="Times New Roman" w:hAnsi="Times New Roman" w:eastAsia="宋体" w:cs="Times New Roman"/>
          <w:szCs w:val="24"/>
        </w:rPr>
        <w:t>登记</w:t>
      </w:r>
      <w:r>
        <w:rPr>
          <w:rFonts w:ascii="Times New Roman" w:hAnsi="Times New Roman" w:eastAsia="宋体" w:cs="Times New Roman"/>
          <w:szCs w:val="24"/>
        </w:rPr>
        <w:t>表</w:t>
      </w:r>
    </w:p>
    <w:p w14:paraId="76A2952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2、评审表格</w:t>
      </w:r>
    </w:p>
    <w:p w14:paraId="6D92C8A5">
      <w:pPr>
        <w:pStyle w:val="2"/>
      </w:pPr>
    </w:p>
    <w:p w14:paraId="284545B0"/>
    <w:p w14:paraId="06C8E01A">
      <w:pPr>
        <w:pStyle w:val="2"/>
      </w:pPr>
    </w:p>
    <w:p w14:paraId="5675C752"/>
    <w:p w14:paraId="0A29A32E">
      <w:pPr>
        <w:pStyle w:val="2"/>
      </w:pPr>
    </w:p>
    <w:p w14:paraId="4DC5E1AC"/>
    <w:p w14:paraId="6FCE5436">
      <w:pPr>
        <w:pStyle w:val="2"/>
      </w:pPr>
    </w:p>
    <w:p w14:paraId="5BE31DD2"/>
    <w:p w14:paraId="04109D5C">
      <w:pPr>
        <w:pStyle w:val="2"/>
      </w:pPr>
    </w:p>
    <w:p w14:paraId="0086F1E8"/>
    <w:p w14:paraId="1A87215F">
      <w:pPr>
        <w:pStyle w:val="2"/>
      </w:pPr>
    </w:p>
    <w:p w14:paraId="4A5F5EDE"/>
    <w:p w14:paraId="375859D7">
      <w:pPr>
        <w:pStyle w:val="2"/>
      </w:pPr>
    </w:p>
    <w:p w14:paraId="32A93CD4"/>
    <w:p w14:paraId="2BC49F80">
      <w:pPr>
        <w:widowControl/>
        <w:spacing w:beforeLines="50" w:afterLines="50" w:line="440" w:lineRule="exact"/>
        <w:ind w:firstLine="643"/>
        <w:jc w:val="center"/>
        <w:outlineLvl w:val="0"/>
        <w:rPr>
          <w:rFonts w:asciiTheme="minorEastAsia" w:hAnsiTheme="minorEastAsia" w:eastAsiaTheme="minorEastAsia" w:cstheme="minorEastAsia"/>
          <w:b/>
          <w:color w:val="auto"/>
          <w:sz w:val="30"/>
          <w:szCs w:val="30"/>
        </w:rPr>
      </w:pPr>
      <w:bookmarkStart w:id="63" w:name="_Toc58430329"/>
      <w:bookmarkStart w:id="64" w:name="_Toc4682"/>
      <w:r>
        <w:rPr>
          <w:rFonts w:hint="eastAsia" w:asciiTheme="minorEastAsia" w:hAnsiTheme="minorEastAsia" w:eastAsiaTheme="minorEastAsia" w:cstheme="minorEastAsia"/>
          <w:b/>
          <w:color w:val="auto"/>
          <w:sz w:val="32"/>
          <w:szCs w:val="32"/>
        </w:rPr>
        <w:t>第五章  合同条款及格式</w:t>
      </w:r>
      <w:bookmarkEnd w:id="63"/>
      <w:bookmarkStart w:id="65" w:name="_Toc58430330"/>
    </w:p>
    <w:bookmarkEnd w:id="65"/>
    <w:p w14:paraId="71A8359E">
      <w:pPr>
        <w:widowControl/>
        <w:spacing w:line="440" w:lineRule="exact"/>
        <w:ind w:left="360" w:firstLine="602"/>
        <w:jc w:val="center"/>
        <w:textAlignment w:val="baseline"/>
        <w:outlineLvl w:val="1"/>
        <w:rPr>
          <w:rFonts w:hint="eastAsia" w:asciiTheme="minorEastAsia" w:hAnsiTheme="minorEastAsia" w:eastAsiaTheme="minorEastAsia" w:cstheme="minorEastAsia"/>
          <w:b/>
          <w:color w:val="auto"/>
          <w:sz w:val="30"/>
          <w:szCs w:val="30"/>
        </w:rPr>
      </w:pPr>
      <w:r>
        <w:rPr>
          <w:rFonts w:hint="eastAsia" w:asciiTheme="minorEastAsia" w:hAnsiTheme="minorEastAsia" w:eastAsiaTheme="minorEastAsia" w:cstheme="minorEastAsia"/>
          <w:b/>
          <w:color w:val="auto"/>
          <w:sz w:val="30"/>
          <w:szCs w:val="30"/>
        </w:rPr>
        <w:t>一、合同协议书</w:t>
      </w:r>
    </w:p>
    <w:p w14:paraId="272C3E02">
      <w:pPr>
        <w:pStyle w:val="2"/>
      </w:pPr>
    </w:p>
    <w:p w14:paraId="2292348C">
      <w:pPr>
        <w:spacing w:line="440" w:lineRule="exact"/>
        <w:jc w:val="center"/>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 xml:space="preserve">合同名称   </w:t>
      </w:r>
      <w:r>
        <w:rPr>
          <w:rFonts w:hint="eastAsia" w:asciiTheme="minorEastAsia" w:hAnsiTheme="minorEastAsia" w:eastAsiaTheme="minorEastAsia" w:cstheme="minorEastAsia"/>
          <w:color w:val="auto"/>
          <w:sz w:val="28"/>
          <w:szCs w:val="28"/>
        </w:rPr>
        <w:t xml:space="preserve">         </w:t>
      </w:r>
      <w:r>
        <w:rPr>
          <w:rFonts w:hint="eastAsia" w:ascii="宋体"/>
          <w:color w:val="auto"/>
          <w:sz w:val="28"/>
          <w:szCs w:val="28"/>
        </w:rPr>
        <w:t xml:space="preserve"> </w:t>
      </w:r>
      <w:r>
        <w:rPr>
          <w:rFonts w:hint="eastAsia" w:asciiTheme="minorEastAsia" w:hAnsiTheme="minorEastAsia" w:eastAsiaTheme="minorEastAsia" w:cstheme="minorEastAsia"/>
          <w:b/>
          <w:color w:val="auto"/>
          <w:sz w:val="28"/>
          <w:szCs w:val="28"/>
        </w:rPr>
        <w:t>编号</w:t>
      </w:r>
    </w:p>
    <w:p w14:paraId="1F075065">
      <w:pPr>
        <w:pStyle w:val="2"/>
      </w:pPr>
    </w:p>
    <w:p w14:paraId="553DB31A">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买    方：                                   卖    方：</w:t>
      </w:r>
    </w:p>
    <w:p w14:paraId="7F57F3B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                                   电    话：</w:t>
      </w:r>
    </w:p>
    <w:p w14:paraId="0F371F2F">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住    所：                                   住    所：                       </w:t>
      </w:r>
    </w:p>
    <w:p w14:paraId="46B331E0">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u w:val="single"/>
        </w:rPr>
        <w:t>（买方）</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u w:val="single"/>
        </w:rPr>
        <w:t>（项目名称）</w:t>
      </w:r>
      <w:r>
        <w:rPr>
          <w:rFonts w:hint="eastAsia" w:asciiTheme="minorEastAsia" w:hAnsiTheme="minorEastAsia" w:eastAsiaTheme="minorEastAsia" w:cstheme="minorEastAsia"/>
          <w:color w:val="auto"/>
          <w:sz w:val="24"/>
          <w:szCs w:val="24"/>
        </w:rPr>
        <w:t>中所需</w:t>
      </w:r>
      <w:r>
        <w:rPr>
          <w:rFonts w:hint="eastAsia" w:asciiTheme="minorEastAsia" w:hAnsiTheme="minorEastAsia" w:eastAsiaTheme="minorEastAsia" w:cstheme="minorEastAsia"/>
          <w:color w:val="auto"/>
          <w:sz w:val="24"/>
          <w:szCs w:val="24"/>
          <w:u w:val="single"/>
        </w:rPr>
        <w:t>（产品名称）</w:t>
      </w:r>
      <w:r>
        <w:rPr>
          <w:rFonts w:hint="eastAsia" w:asciiTheme="minorEastAsia" w:hAnsiTheme="minorEastAsia" w:eastAsiaTheme="minorEastAsia" w:cstheme="minorEastAsia"/>
          <w:color w:val="auto"/>
          <w:sz w:val="24"/>
          <w:szCs w:val="24"/>
        </w:rPr>
        <w:t xml:space="preserve"> 经公开招标，确定</w:t>
      </w:r>
      <w:r>
        <w:rPr>
          <w:rFonts w:hint="eastAsia" w:asciiTheme="minorEastAsia" w:hAnsiTheme="minorEastAsia" w:eastAsiaTheme="minorEastAsia" w:cstheme="minorEastAsia"/>
          <w:color w:val="auto"/>
          <w:sz w:val="24"/>
          <w:szCs w:val="24"/>
          <w:u w:val="single"/>
        </w:rPr>
        <w:t>（卖方）</w:t>
      </w:r>
      <w:r>
        <w:rPr>
          <w:rFonts w:hint="eastAsia" w:asciiTheme="minorEastAsia" w:hAnsiTheme="minorEastAsia" w:eastAsiaTheme="minorEastAsia" w:cstheme="minorEastAsia"/>
          <w:color w:val="auto"/>
          <w:sz w:val="24"/>
          <w:szCs w:val="24"/>
        </w:rPr>
        <w:t>为中标人。按照《中华人民共和国民法典》的规定，买卖双方同意按照下述的条款和条件，签署本合同。</w:t>
      </w:r>
    </w:p>
    <w:p w14:paraId="49990055">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1.本合同文件</w:t>
      </w:r>
    </w:p>
    <w:p w14:paraId="224870E6">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下列每一文件均应作为合同的组成部分进行阅读和解释：</w:t>
      </w:r>
    </w:p>
    <w:p w14:paraId="5B07E16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（1）招标文件（2）投标文件（3）中标通知书</w:t>
      </w:r>
    </w:p>
    <w:p w14:paraId="77EC4076">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（4）经双方确认进入合同的其它文件、补充条款或说明</w:t>
      </w:r>
    </w:p>
    <w:p w14:paraId="64F3AA83">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2.采购标的、数量、质量要求</w:t>
      </w:r>
    </w:p>
    <w:tbl>
      <w:tblPr>
        <w:tblStyle w:val="25"/>
        <w:tblW w:w="9077" w:type="dxa"/>
        <w:tblInd w:w="-25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80"/>
        <w:gridCol w:w="2472"/>
        <w:gridCol w:w="1506"/>
        <w:gridCol w:w="951"/>
        <w:gridCol w:w="948"/>
        <w:gridCol w:w="1089"/>
        <w:gridCol w:w="1331"/>
      </w:tblGrid>
      <w:tr w14:paraId="74C99A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0" w:hRule="atLeast"/>
        </w:trPr>
        <w:tc>
          <w:tcPr>
            <w:tcW w:w="780" w:type="dxa"/>
            <w:vAlign w:val="center"/>
          </w:tcPr>
          <w:p w14:paraId="6AD6E6F5">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2472" w:type="dxa"/>
            <w:tcBorders>
              <w:right w:val="single" w:color="auto" w:sz="4" w:space="0"/>
            </w:tcBorders>
            <w:vAlign w:val="center"/>
          </w:tcPr>
          <w:p w14:paraId="18CEC608">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产品名称</w:t>
            </w:r>
          </w:p>
        </w:tc>
        <w:tc>
          <w:tcPr>
            <w:tcW w:w="1506" w:type="dxa"/>
            <w:tcBorders>
              <w:left w:val="single" w:color="auto" w:sz="4" w:space="0"/>
            </w:tcBorders>
            <w:vAlign w:val="center"/>
          </w:tcPr>
          <w:p w14:paraId="6C47E08C">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规格型号</w:t>
            </w:r>
          </w:p>
          <w:p w14:paraId="2164AB57">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品牌（生产厂家）</w:t>
            </w:r>
          </w:p>
        </w:tc>
        <w:tc>
          <w:tcPr>
            <w:tcW w:w="951" w:type="dxa"/>
            <w:vAlign w:val="center"/>
          </w:tcPr>
          <w:p w14:paraId="0526DABA">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单位</w:t>
            </w:r>
          </w:p>
        </w:tc>
        <w:tc>
          <w:tcPr>
            <w:tcW w:w="948" w:type="dxa"/>
            <w:vAlign w:val="center"/>
          </w:tcPr>
          <w:p w14:paraId="017E8CA2">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w:t>
            </w:r>
          </w:p>
        </w:tc>
        <w:tc>
          <w:tcPr>
            <w:tcW w:w="1089" w:type="dxa"/>
            <w:tcBorders>
              <w:left w:val="single" w:color="auto" w:sz="4" w:space="0"/>
            </w:tcBorders>
            <w:vAlign w:val="center"/>
          </w:tcPr>
          <w:p w14:paraId="4329DC01">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 价（元）</w:t>
            </w:r>
          </w:p>
        </w:tc>
        <w:tc>
          <w:tcPr>
            <w:tcW w:w="1331" w:type="dxa"/>
            <w:vAlign w:val="center"/>
          </w:tcPr>
          <w:p w14:paraId="43B7AAD9">
            <w:pPr>
              <w:spacing w:line="300" w:lineRule="exact"/>
              <w:ind w:left="-80" w:leftChars="-38" w:right="-94" w:rightChars="-45"/>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09BED9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330052AE">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472" w:type="dxa"/>
            <w:tcBorders>
              <w:right w:val="single" w:color="auto" w:sz="4" w:space="0"/>
            </w:tcBorders>
            <w:shd w:val="clear" w:color="auto" w:fill="FFFFFF"/>
            <w:vAlign w:val="center"/>
          </w:tcPr>
          <w:p w14:paraId="7BC874D1">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D2479C6">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18790CC3">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698056C7">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3AF87A4E">
            <w:pPr>
              <w:spacing w:line="300" w:lineRule="exact"/>
              <w:rPr>
                <w:rFonts w:asciiTheme="minorEastAsia" w:hAnsiTheme="minorEastAsia" w:eastAsiaTheme="minorEastAsia" w:cstheme="minorEastAsia"/>
                <w:color w:val="auto"/>
                <w:sz w:val="24"/>
                <w:szCs w:val="24"/>
              </w:rPr>
            </w:pPr>
          </w:p>
        </w:tc>
        <w:tc>
          <w:tcPr>
            <w:tcW w:w="1331" w:type="dxa"/>
          </w:tcPr>
          <w:p w14:paraId="673AF68F">
            <w:pPr>
              <w:spacing w:line="300" w:lineRule="exact"/>
              <w:rPr>
                <w:rFonts w:asciiTheme="minorEastAsia" w:hAnsiTheme="minorEastAsia" w:eastAsiaTheme="minorEastAsia" w:cstheme="minorEastAsia"/>
                <w:color w:val="auto"/>
                <w:sz w:val="24"/>
                <w:szCs w:val="24"/>
              </w:rPr>
            </w:pPr>
          </w:p>
        </w:tc>
      </w:tr>
      <w:tr w14:paraId="6D2FBC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5BE9C4AC">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2472" w:type="dxa"/>
            <w:tcBorders>
              <w:right w:val="single" w:color="auto" w:sz="4" w:space="0"/>
            </w:tcBorders>
            <w:shd w:val="clear" w:color="auto" w:fill="FFFFFF"/>
            <w:vAlign w:val="center"/>
          </w:tcPr>
          <w:p w14:paraId="76E1568D">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0D1D2D8C">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2B851A45">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46BB311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302E1293">
            <w:pPr>
              <w:spacing w:line="300" w:lineRule="exact"/>
              <w:rPr>
                <w:rFonts w:asciiTheme="minorEastAsia" w:hAnsiTheme="minorEastAsia" w:eastAsiaTheme="minorEastAsia" w:cstheme="minorEastAsia"/>
                <w:color w:val="auto"/>
                <w:sz w:val="24"/>
                <w:szCs w:val="24"/>
              </w:rPr>
            </w:pPr>
          </w:p>
        </w:tc>
        <w:tc>
          <w:tcPr>
            <w:tcW w:w="1331" w:type="dxa"/>
          </w:tcPr>
          <w:p w14:paraId="1E406E4E">
            <w:pPr>
              <w:spacing w:line="300" w:lineRule="exact"/>
              <w:rPr>
                <w:rFonts w:asciiTheme="minorEastAsia" w:hAnsiTheme="minorEastAsia" w:eastAsiaTheme="minorEastAsia" w:cstheme="minorEastAsia"/>
                <w:color w:val="auto"/>
                <w:sz w:val="24"/>
                <w:szCs w:val="24"/>
              </w:rPr>
            </w:pPr>
          </w:p>
        </w:tc>
      </w:tr>
      <w:tr w14:paraId="74B2C4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20817E17">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2472" w:type="dxa"/>
            <w:tcBorders>
              <w:right w:val="single" w:color="auto" w:sz="4" w:space="0"/>
            </w:tcBorders>
            <w:shd w:val="clear" w:color="auto" w:fill="FFFFFF"/>
            <w:vAlign w:val="center"/>
          </w:tcPr>
          <w:p w14:paraId="0758F95A">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070A0498">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29BD605F">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5082D7F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248C5627">
            <w:pPr>
              <w:spacing w:line="300" w:lineRule="exact"/>
              <w:rPr>
                <w:rFonts w:asciiTheme="minorEastAsia" w:hAnsiTheme="minorEastAsia" w:eastAsiaTheme="minorEastAsia" w:cstheme="minorEastAsia"/>
                <w:color w:val="auto"/>
                <w:sz w:val="24"/>
                <w:szCs w:val="24"/>
              </w:rPr>
            </w:pPr>
          </w:p>
        </w:tc>
        <w:tc>
          <w:tcPr>
            <w:tcW w:w="1331" w:type="dxa"/>
          </w:tcPr>
          <w:p w14:paraId="4FE30BFF">
            <w:pPr>
              <w:spacing w:line="300" w:lineRule="exact"/>
              <w:rPr>
                <w:rFonts w:asciiTheme="minorEastAsia" w:hAnsiTheme="minorEastAsia" w:eastAsiaTheme="minorEastAsia" w:cstheme="minorEastAsia"/>
                <w:color w:val="auto"/>
                <w:sz w:val="24"/>
                <w:szCs w:val="24"/>
              </w:rPr>
            </w:pPr>
          </w:p>
        </w:tc>
      </w:tr>
      <w:tr w14:paraId="64B39E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408FF3A9">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2472" w:type="dxa"/>
            <w:tcBorders>
              <w:right w:val="single" w:color="auto" w:sz="4" w:space="0"/>
            </w:tcBorders>
            <w:shd w:val="clear" w:color="auto" w:fill="FFFFFF"/>
            <w:vAlign w:val="center"/>
          </w:tcPr>
          <w:p w14:paraId="696277ED">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43C0924">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34789656">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2B52C31">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7AB9EAA0">
            <w:pPr>
              <w:spacing w:line="300" w:lineRule="exact"/>
              <w:rPr>
                <w:rFonts w:asciiTheme="minorEastAsia" w:hAnsiTheme="minorEastAsia" w:eastAsiaTheme="minorEastAsia" w:cstheme="minorEastAsia"/>
                <w:color w:val="auto"/>
                <w:sz w:val="24"/>
                <w:szCs w:val="24"/>
              </w:rPr>
            </w:pPr>
          </w:p>
        </w:tc>
        <w:tc>
          <w:tcPr>
            <w:tcW w:w="1331" w:type="dxa"/>
          </w:tcPr>
          <w:p w14:paraId="7CCD9D3B">
            <w:pPr>
              <w:spacing w:line="300" w:lineRule="exact"/>
              <w:rPr>
                <w:rFonts w:asciiTheme="minorEastAsia" w:hAnsiTheme="minorEastAsia" w:eastAsiaTheme="minorEastAsia" w:cstheme="minorEastAsia"/>
                <w:color w:val="auto"/>
                <w:sz w:val="24"/>
                <w:szCs w:val="24"/>
              </w:rPr>
            </w:pPr>
          </w:p>
        </w:tc>
      </w:tr>
      <w:tr w14:paraId="6B1925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2F47AB67">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2472" w:type="dxa"/>
            <w:tcBorders>
              <w:right w:val="single" w:color="auto" w:sz="4" w:space="0"/>
            </w:tcBorders>
            <w:shd w:val="clear" w:color="auto" w:fill="FFFFFF"/>
            <w:vAlign w:val="center"/>
          </w:tcPr>
          <w:p w14:paraId="31CA7027">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15D87A9A">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4A91E7A1">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0F39330">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472D2D27">
            <w:pPr>
              <w:spacing w:line="300" w:lineRule="exact"/>
              <w:rPr>
                <w:rFonts w:asciiTheme="minorEastAsia" w:hAnsiTheme="minorEastAsia" w:eastAsiaTheme="minorEastAsia" w:cstheme="minorEastAsia"/>
                <w:color w:val="auto"/>
                <w:sz w:val="24"/>
                <w:szCs w:val="24"/>
              </w:rPr>
            </w:pPr>
          </w:p>
        </w:tc>
        <w:tc>
          <w:tcPr>
            <w:tcW w:w="1331" w:type="dxa"/>
          </w:tcPr>
          <w:p w14:paraId="796511AF">
            <w:pPr>
              <w:spacing w:line="300" w:lineRule="exact"/>
              <w:rPr>
                <w:rFonts w:asciiTheme="minorEastAsia" w:hAnsiTheme="minorEastAsia" w:eastAsiaTheme="minorEastAsia" w:cstheme="minorEastAsia"/>
                <w:color w:val="auto"/>
                <w:sz w:val="24"/>
                <w:szCs w:val="24"/>
              </w:rPr>
            </w:pPr>
          </w:p>
        </w:tc>
      </w:tr>
      <w:tr w14:paraId="5272A2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28" w:hRule="atLeast"/>
        </w:trPr>
        <w:tc>
          <w:tcPr>
            <w:tcW w:w="780" w:type="dxa"/>
            <w:shd w:val="clear" w:color="auto" w:fill="auto"/>
          </w:tcPr>
          <w:p w14:paraId="348CFEC1">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2472" w:type="dxa"/>
            <w:tcBorders>
              <w:right w:val="single" w:color="auto" w:sz="4" w:space="0"/>
            </w:tcBorders>
            <w:shd w:val="clear" w:color="auto" w:fill="FFFFFF"/>
            <w:vAlign w:val="center"/>
          </w:tcPr>
          <w:p w14:paraId="0E74E8C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2D2A896">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7E6FA227">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A648E5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28D20114">
            <w:pPr>
              <w:spacing w:line="300" w:lineRule="exact"/>
              <w:rPr>
                <w:rFonts w:asciiTheme="minorEastAsia" w:hAnsiTheme="minorEastAsia" w:eastAsiaTheme="minorEastAsia" w:cstheme="minorEastAsia"/>
                <w:color w:val="auto"/>
                <w:sz w:val="24"/>
                <w:szCs w:val="24"/>
              </w:rPr>
            </w:pPr>
          </w:p>
        </w:tc>
        <w:tc>
          <w:tcPr>
            <w:tcW w:w="1331" w:type="dxa"/>
          </w:tcPr>
          <w:p w14:paraId="1D3F8F05">
            <w:pPr>
              <w:spacing w:line="300" w:lineRule="exact"/>
              <w:rPr>
                <w:rFonts w:asciiTheme="minorEastAsia" w:hAnsiTheme="minorEastAsia" w:eastAsiaTheme="minorEastAsia" w:cstheme="minorEastAsia"/>
                <w:color w:val="auto"/>
                <w:sz w:val="24"/>
                <w:szCs w:val="24"/>
              </w:rPr>
            </w:pPr>
          </w:p>
        </w:tc>
      </w:tr>
    </w:tbl>
    <w:p w14:paraId="4A1F2CA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3.合同总价</w:t>
      </w:r>
    </w:p>
    <w:p w14:paraId="0F34DD45">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合同总价为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元人民币。</w:t>
      </w:r>
    </w:p>
    <w:p w14:paraId="3FE1A00D">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4.付款方式： 本次换装全套动力电池工程分批次进行（在不影响采购方班次正常运行的情况下），双方签订合同后7日内支付总货款的10%作为预付款，收到新全套动力电池并更换安装测试正常后10日内支付总货款的60%，更换动力电池一周年内支付总货款30%(国家财政补贴款到后即支付)，履约保证金即质量保证金人民币10万元在5年质保期满后无息支付。</w:t>
      </w:r>
    </w:p>
    <w:p w14:paraId="41E1E830">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5.合同供货（服务）期限及地点和方式：本次15台宇通油电混动新能源车辆全套动力电池以及电池仓、高压仓四只灭火器换装工程在不影响采购方班次正常运行的情况下分为批次实施，合同签订首付款后30个日历天内投标人完成供货并安装、调试第一台车试车验收。其它14台车更换全套动力电池工程期应在25个日历天内完成试车并验收。 </w:t>
      </w:r>
    </w:p>
    <w:p w14:paraId="3F8E08C5">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供货地点和方式：以采购人要求为准。</w:t>
      </w:r>
    </w:p>
    <w:p w14:paraId="37B8FA42">
      <w:pPr>
        <w:numPr>
          <w:ilvl w:val="0"/>
          <w:numId w:val="11"/>
        </w:num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验收要求及违约责任</w:t>
      </w:r>
    </w:p>
    <w:p w14:paraId="2661413D">
      <w:pPr>
        <w:pStyle w:val="71"/>
        <w:rPr>
          <w:color w:val="auto"/>
        </w:rPr>
      </w:pPr>
      <w:r>
        <w:rPr>
          <w:rFonts w:hint="eastAsia"/>
          <w:color w:val="auto"/>
        </w:rPr>
        <w:t>验收要求：</w:t>
      </w:r>
    </w:p>
    <w:p w14:paraId="440AD24A">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（1）中标人必须在每期电池换装结束后，提供由中标人、厂家售后服务经理、客户三方共同签字的换装工程验收报告，凭此验收报告支付款项。</w:t>
      </w:r>
    </w:p>
    <w:p w14:paraId="348C6F3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人和相关部门按照国家规定标准验收，没有国家标准的按行业标准验收，无行业标准的按地方或企业标准验收，中标人予以配合。涉及安全、消防、环保等其他需要由质检或行业主管部门验收的工程，采购人须约请相关部门和专家参加工程验收。</w:t>
      </w:r>
    </w:p>
    <w:p w14:paraId="48FB2AD2">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货物在验收时，投标人应提供发票、制造厂家出具的产品合格证书、装箱清单等,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14:paraId="09D1E75A">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约定买方承担的其他义务和责任：（1）在合同生效后，非因产品质量问题，买方要求退货的，应向卖方偿付合同总价款的5%，作为违约金，违约金不足以补偿损失的，卖方有权要求甲方补足。</w:t>
      </w:r>
    </w:p>
    <w:p w14:paraId="1AA896C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(2)买方逾期付款的应按照逾期付款金额的每天万分之四支付逾期付款违约金。</w:t>
      </w:r>
    </w:p>
    <w:p w14:paraId="5E1736C4">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(3)买方违反合同规定，无正当理由拒绝接收卖方交付的符合招标文件要求的合格标的物，应当承担卖方由此造成的损失。</w:t>
      </w:r>
    </w:p>
    <w:p w14:paraId="5BE7BBBF">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约定卖方承担的其他义务和责任：（1）卖方不能交货（逾期超过五天视为不能交货），或交货不合格从而影响买方按期正常使用的，应向买方偿付合同总价款5%的违约金，违约金不足以补偿损失的，买方有权要求卖方补足。</w:t>
      </w:r>
    </w:p>
    <w:p w14:paraId="5AC54CB6">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(2)卖方逾期交货的，应在发货前与买方和采购人协商，买方仍需求的，卖方应立即发货并应按照逾期交货部分货款的每天万分之四支付逾期交</w:t>
      </w:r>
      <w:r>
        <w:rPr>
          <w:rFonts w:hint="eastAsia" w:asciiTheme="minorEastAsia" w:hAnsiTheme="minorEastAsia" w:eastAsiaTheme="minorEastAsia" w:cstheme="minorEastAsia"/>
          <w:color w:val="auto"/>
          <w:szCs w:val="24"/>
        </w:rPr>
        <w:t>货违约金，</w:t>
      </w:r>
      <w:r>
        <w:rPr>
          <w:rFonts w:hint="eastAsia" w:asciiTheme="minorEastAsia" w:hAnsiTheme="minorEastAsia" w:eastAsiaTheme="minorEastAsia" w:cstheme="minorEastAsia"/>
          <w:color w:val="auto"/>
          <w:sz w:val="24"/>
          <w:szCs w:val="24"/>
        </w:rPr>
        <w:t>同时承担买方因此遭致的损失费用。</w:t>
      </w:r>
    </w:p>
    <w:p w14:paraId="344ECA32">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卖方在收到买方提出的产品维保或者伴随服务要求之日起24小时内未提供相应的维保或者伴随服务，卖方应按照合同总价款的每天万分之四支付违约金。卖方如不按时提供相应的维保或者伴随服务，买方有权自行委托第三方进行维保或者提供相应服务，产生的费用应由卖方承担，如卖方不支付该费用，买方有权向卖方追偿。</w:t>
      </w:r>
    </w:p>
    <w:p w14:paraId="3ED6D0EF">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卖方应当保持单项价格的合理性，严禁出现不平衡报价的情况，项目采购结束后，采购人有权对各单项价格进行核查，对于严重超过市场价格的单价，将在正式合同中明确：对于认定为不平衡报价的单项，如果发生数量变动，将按照有利于买方的单价进行认价。</w:t>
      </w:r>
    </w:p>
    <w:p w14:paraId="019E72D0">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7.违约责任及解决争议方法</w:t>
      </w:r>
    </w:p>
    <w:p w14:paraId="1F3BEE2E">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（1）合同一方不履行合同义务或者履行合同义务不符合约定的，应当承担继续履行、采取补救措施或者赔偿损失等违约责任。</w:t>
      </w:r>
    </w:p>
    <w:p w14:paraId="3D897E25">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（2）因本合同及合同有关事项发生的争议，解决方式：向滁州市仲裁委员会申请仲裁，仲裁地点为滁州市。</w:t>
      </w:r>
    </w:p>
    <w:p w14:paraId="1B384EE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8.安全责任</w:t>
      </w:r>
    </w:p>
    <w:p w14:paraId="5C88C63C">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根据工信部《关于新能源城市公交车辆动力电池更换事项的公告》的规定：新能源公交车辆动力电池更换工作应在确保整车安全的前提下实施，按照“谁更换，谁负责”的原则，卖方（中标单位）为安全责任主体，负责更换电池的全部安全责任。卖方换装新电池后，保证车辆能够正常使用，并对所换部件及整车的安全使用性负责。</w:t>
      </w:r>
    </w:p>
    <w:p w14:paraId="500EF616">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9.合同的生效</w:t>
      </w:r>
    </w:p>
    <w:p w14:paraId="153F460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合同经双方授权代表签署，买卖双方加盖印章之后生效。</w:t>
      </w:r>
    </w:p>
    <w:p w14:paraId="0DE83FA7">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本合同一式     份，双方各执     份。</w:t>
      </w:r>
    </w:p>
    <w:p w14:paraId="7BA871A7">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买  方：                          卖  方：</w:t>
      </w:r>
    </w:p>
    <w:p w14:paraId="291FB247">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名  称：（盖章）                  名  称：（盖章）</w:t>
      </w:r>
    </w:p>
    <w:p w14:paraId="2DF6FBE6">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法定代表人（或委托代理人）：      法定代表人（或委托代理人）：</w:t>
      </w:r>
    </w:p>
    <w:p w14:paraId="10DFE5E8">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（签字）                        （签字）</w:t>
      </w:r>
    </w:p>
    <w:p w14:paraId="4DBFBFEB">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地    址：                        地    址：</w:t>
      </w:r>
    </w:p>
    <w:p w14:paraId="0814530D">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邮政编码：                        邮政编码：</w:t>
      </w:r>
    </w:p>
    <w:p w14:paraId="59614567">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电    话：                        电    话：</w:t>
      </w:r>
    </w:p>
    <w:p w14:paraId="21B8DA35">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开户银行：                        开户银行：</w:t>
      </w:r>
    </w:p>
    <w:p w14:paraId="51C9DFAF">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帐    号：                        帐    号：</w:t>
      </w:r>
    </w:p>
    <w:p w14:paraId="10F48EF8">
      <w:pPr>
        <w:widowControl/>
        <w:spacing w:line="400" w:lineRule="exact"/>
        <w:ind w:left="360"/>
        <w:jc w:val="right"/>
        <w:textAlignment w:val="baseline"/>
        <w:outlineLvl w:val="1"/>
        <w:rPr>
          <w:rFonts w:asciiTheme="minorEastAsia" w:hAnsiTheme="minorEastAsia" w:eastAsiaTheme="minorEastAsia" w:cstheme="minorEastAsia"/>
          <w:color w:val="auto"/>
          <w:kern w:val="0"/>
          <w:sz w:val="24"/>
          <w:szCs w:val="24"/>
          <w:u w:color="000000"/>
        </w:rPr>
      </w:pPr>
      <w:bookmarkStart w:id="66" w:name="_Toc449028947"/>
      <w:bookmarkStart w:id="67" w:name="_Toc247085768"/>
      <w:bookmarkStart w:id="68" w:name="_Toc152045610"/>
      <w:bookmarkStart w:id="69" w:name="_Toc246996253"/>
      <w:bookmarkStart w:id="70" w:name="_Toc296602498"/>
      <w:bookmarkStart w:id="71" w:name="_Toc152042388"/>
      <w:bookmarkStart w:id="72" w:name="_Toc246996996"/>
      <w:bookmarkStart w:id="73" w:name="_Toc144974578"/>
      <w:bookmarkStart w:id="74" w:name="_Toc179632628"/>
      <w:r>
        <w:rPr>
          <w:rFonts w:hint="eastAsia" w:asciiTheme="minorEastAsia" w:hAnsiTheme="minorEastAsia" w:eastAsiaTheme="minorEastAsia" w:cstheme="minorEastAsia"/>
          <w:color w:val="auto"/>
          <w:kern w:val="0"/>
          <w:sz w:val="24"/>
          <w:szCs w:val="24"/>
          <w:u w:color="000000"/>
        </w:rPr>
        <w:t>签订日期：    年   月  日</w:t>
      </w:r>
    </w:p>
    <w:p w14:paraId="3CACB4D6">
      <w:pPr>
        <w:widowControl/>
        <w:spacing w:line="400" w:lineRule="exact"/>
        <w:ind w:left="360"/>
        <w:jc w:val="center"/>
        <w:textAlignment w:val="baseline"/>
        <w:outlineLvl w:val="1"/>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kern w:val="0"/>
          <w:sz w:val="24"/>
          <w:szCs w:val="24"/>
          <w:u w:color="000000"/>
        </w:rPr>
        <w:br w:type="page"/>
      </w:r>
      <w:bookmarkStart w:id="75" w:name="_Toc58430331"/>
      <w:r>
        <w:rPr>
          <w:rFonts w:hint="eastAsia" w:asciiTheme="minorEastAsia" w:hAnsiTheme="minorEastAsia" w:eastAsiaTheme="minorEastAsia" w:cstheme="minorEastAsia"/>
          <w:b/>
          <w:color w:val="auto"/>
          <w:sz w:val="24"/>
          <w:szCs w:val="24"/>
        </w:rPr>
        <w:t>二、合同条款</w:t>
      </w:r>
      <w:bookmarkEnd w:id="66"/>
      <w:bookmarkEnd w:id="67"/>
      <w:bookmarkEnd w:id="68"/>
      <w:bookmarkEnd w:id="69"/>
      <w:bookmarkEnd w:id="70"/>
      <w:bookmarkEnd w:id="71"/>
      <w:bookmarkEnd w:id="72"/>
      <w:bookmarkEnd w:id="73"/>
      <w:bookmarkEnd w:id="74"/>
      <w:bookmarkEnd w:id="75"/>
    </w:p>
    <w:p w14:paraId="6CF8F146">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一.  合同文件</w:t>
      </w:r>
    </w:p>
    <w:p w14:paraId="7E98E49E">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1.合同文件适用法律</w:t>
      </w:r>
    </w:p>
    <w:p w14:paraId="266D4759">
      <w:pPr>
        <w:spacing w:line="440" w:lineRule="exact"/>
        <w:ind w:firstLine="720" w:firstLineChars="3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适用于合同文件的法律是中华人民共和国现行法律、法规及采购人所在地的地方性法规。</w:t>
      </w:r>
    </w:p>
    <w:p w14:paraId="30A378C8">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2.合同文件组成和解释顺序</w:t>
      </w:r>
    </w:p>
    <w:p w14:paraId="41B447D4">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(1)合同文件的组成和解释顺序如下：</w:t>
      </w:r>
    </w:p>
    <w:p w14:paraId="155589E7">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&lt;1&gt;合同的主要条款；</w:t>
      </w:r>
    </w:p>
    <w:p w14:paraId="6565078D">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&lt;2&gt;合同的一般性条款；</w:t>
      </w:r>
    </w:p>
    <w:p w14:paraId="466C7C05">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&lt;3&gt;洽商、变更等明确双方权利义务的纪要、协议；</w:t>
      </w:r>
    </w:p>
    <w:p w14:paraId="01F66277">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&lt;4&gt;中标通知书、投标文件和招标文件；</w:t>
      </w:r>
    </w:p>
    <w:p w14:paraId="27B745A6">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&lt;5&gt;有关图纸、标准、规范和其它有关技术资料、技术要求。</w:t>
      </w:r>
    </w:p>
    <w:p w14:paraId="42234C58">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&lt;6&gt;合同的主要条款的效力优于合同的一般性条款的效力。</w:t>
      </w:r>
    </w:p>
    <w:p w14:paraId="7BE9D804">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3.合同文件使用文字</w:t>
      </w:r>
    </w:p>
    <w:p w14:paraId="70882559">
      <w:pPr>
        <w:pStyle w:val="7"/>
        <w:ind w:firstLine="480"/>
        <w:rPr>
          <w:color w:val="auto"/>
          <w:u w:color="000000"/>
        </w:rPr>
      </w:pPr>
      <w:r>
        <w:rPr>
          <w:rFonts w:hint="eastAsia"/>
          <w:color w:val="auto"/>
          <w:u w:color="000000"/>
        </w:rPr>
        <w:t>(1)合同文件使用中文书写、解释和说明。</w:t>
      </w:r>
    </w:p>
    <w:p w14:paraId="3EB0E7A8">
      <w:pPr>
        <w:pStyle w:val="7"/>
        <w:ind w:firstLine="480"/>
        <w:rPr>
          <w:color w:val="auto"/>
          <w:u w:color="000000"/>
        </w:rPr>
      </w:pPr>
      <w:r>
        <w:rPr>
          <w:rFonts w:hint="eastAsia"/>
          <w:color w:val="auto"/>
          <w:u w:color="000000"/>
        </w:rPr>
        <w:t xml:space="preserve">(2)合同文件使用技术性条款约定的为国家标准和规范；国家没有相应标准、规范时，可使用行业标准、规范。非标货物应按约定的技术性条款的标准和规范。 </w:t>
      </w:r>
    </w:p>
    <w:p w14:paraId="17057D3E">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二.  标的物的一般条款</w:t>
      </w:r>
    </w:p>
    <w:p w14:paraId="23BD235C">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4.完整物权</w:t>
      </w:r>
    </w:p>
    <w:p w14:paraId="4A19CA85">
      <w:pPr>
        <w:tabs>
          <w:tab w:val="left" w:pos="660"/>
        </w:tabs>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（1）对于出卖的标的物，卖方应当拥有完整物权，并且卖方负有保证第三人不得向买方主张任何权利（包括知识产权）的义务。</w:t>
      </w:r>
    </w:p>
    <w:p w14:paraId="792D2BB2">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2）中标单位所提供的产品均应为原厂全新合格品。中标后中标人必须提供所投主要产品到甲方指定地点进行演示，以确保达到投标文件的技术要求，同时提供所投产品原厂质保函，如所供之产品不符合投标文件对技术要求的承诺，采购单位有权退回所供产品，因此产生的一切损失由中标人承担。</w:t>
      </w:r>
    </w:p>
    <w:p w14:paraId="7854B0DB">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（3）本次招标所涉及的所有产品招标人有权利对中标产品进行现场测试，如若不能满足招标文件要求，并由中标人承担相关责任。</w:t>
      </w:r>
    </w:p>
    <w:p w14:paraId="367C3D31">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（4） 本次采购中所涉及的所有产品因质量问题，改装、改造、技术等非招标人的原因造成的一切安全问题由中标人承担相关责任。</w:t>
      </w:r>
    </w:p>
    <w:p w14:paraId="66E96139">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5.质量保证</w:t>
      </w:r>
    </w:p>
    <w:p w14:paraId="788AEB4B">
      <w:pPr>
        <w:pStyle w:val="7"/>
        <w:ind w:firstLine="480"/>
        <w:rPr>
          <w:color w:val="auto"/>
          <w:u w:color="000000"/>
        </w:rPr>
      </w:pPr>
      <w:r>
        <w:rPr>
          <w:rFonts w:hint="eastAsia"/>
          <w:color w:val="auto"/>
          <w:u w:color="000000"/>
        </w:rPr>
        <w:t>(1)卖方应保证所供标的物是全新的，未使用过的，并且是非长期积压的库存商品，完全符合合同规定的质量、规格和性能的要求，卖方应保证其提供的标的物在正确安装，正常使用和保养条件下，在其标称的使用寿命期内应具有满意的性能。在卖方承诺的质量保证期限内，卖方应对由于设计、工艺或材料的缺陷及伴随服务而造成的任何不足或故障负责。</w:t>
      </w:r>
    </w:p>
    <w:p w14:paraId="488A3E37">
      <w:pPr>
        <w:pStyle w:val="7"/>
        <w:ind w:firstLine="480"/>
        <w:rPr>
          <w:color w:val="auto"/>
          <w:u w:color="000000"/>
        </w:rPr>
      </w:pPr>
      <w:r>
        <w:rPr>
          <w:rFonts w:hint="eastAsia"/>
          <w:color w:val="auto"/>
          <w:u w:color="000000"/>
        </w:rPr>
        <w:t>(2)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14:paraId="3665EC9D">
      <w:pPr>
        <w:pStyle w:val="7"/>
        <w:ind w:firstLine="480"/>
        <w:rPr>
          <w:color w:val="auto"/>
          <w:u w:color="000000"/>
        </w:rPr>
      </w:pPr>
      <w:r>
        <w:rPr>
          <w:rFonts w:hint="eastAsia"/>
          <w:color w:val="auto"/>
          <w:u w:color="000000"/>
        </w:rPr>
        <w:t>(3)除合同主要条款规定外，合同条款中标的物的质量保证期均自标的物通过最终验收之日起计算，且质量保证期按不低于国家标准和卖方承诺的高于国家标准的质保期（卖方有特殊要求的除外）。</w:t>
      </w:r>
    </w:p>
    <w:p w14:paraId="7F448552">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6.包装</w:t>
      </w:r>
    </w:p>
    <w:p w14:paraId="683DA30C">
      <w:pPr>
        <w:pStyle w:val="7"/>
        <w:ind w:firstLine="480"/>
        <w:rPr>
          <w:color w:val="auto"/>
          <w:u w:color="000000"/>
        </w:rPr>
      </w:pPr>
      <w:r>
        <w:rPr>
          <w:rFonts w:hint="eastAsia"/>
          <w:color w:val="auto"/>
          <w:u w:color="000000"/>
        </w:rPr>
        <w:t>卖方应当按照约定的包装方式交付标的物。对包装方式没有约定或者约定不明确的，应当按照双方补充协议约定的方式包装，或者按照通用的方式包装，没有通用方式的，应当采取足以保护标的物的包装方式。</w:t>
      </w:r>
    </w:p>
    <w:p w14:paraId="6DA866D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7.伴随服务</w:t>
      </w:r>
    </w:p>
    <w:p w14:paraId="5A67D441">
      <w:pPr>
        <w:pStyle w:val="7"/>
        <w:ind w:firstLine="480"/>
        <w:rPr>
          <w:color w:val="auto"/>
          <w:u w:color="000000"/>
        </w:rPr>
      </w:pPr>
      <w:r>
        <w:rPr>
          <w:rFonts w:hint="eastAsia"/>
          <w:color w:val="auto"/>
          <w:u w:color="000000"/>
        </w:rPr>
        <w:t>(1)卖方除应履行按期按量交付合格标的物的义务之外，还应提供下列服务：</w:t>
      </w:r>
    </w:p>
    <w:p w14:paraId="52C93296">
      <w:pPr>
        <w:pStyle w:val="7"/>
        <w:ind w:firstLine="480"/>
        <w:rPr>
          <w:color w:val="auto"/>
          <w:u w:color="000000"/>
        </w:rPr>
      </w:pPr>
      <w:r>
        <w:rPr>
          <w:rFonts w:hint="eastAsia"/>
          <w:color w:val="auto"/>
          <w:u w:color="000000"/>
        </w:rPr>
        <w:t>&lt;1&gt;标的物的现场安装或指导安装、启动、调试、监督（如果必须安装、调试的话）；</w:t>
      </w:r>
    </w:p>
    <w:p w14:paraId="7B47E1FD">
      <w:pPr>
        <w:pStyle w:val="7"/>
        <w:ind w:firstLine="480"/>
        <w:rPr>
          <w:color w:val="auto"/>
          <w:u w:color="000000"/>
        </w:rPr>
      </w:pPr>
      <w:r>
        <w:rPr>
          <w:rFonts w:hint="eastAsia"/>
          <w:color w:val="auto"/>
          <w:u w:color="000000"/>
        </w:rPr>
        <w:t>&lt;2&gt;提供标的物组装和一般维修所必须的工具；</w:t>
      </w:r>
    </w:p>
    <w:p w14:paraId="70CE53B6">
      <w:pPr>
        <w:pStyle w:val="7"/>
        <w:ind w:firstLine="480"/>
        <w:rPr>
          <w:color w:val="auto"/>
          <w:u w:color="000000"/>
        </w:rPr>
      </w:pPr>
      <w:r>
        <w:rPr>
          <w:rFonts w:hint="eastAsia"/>
          <w:color w:val="auto"/>
          <w:u w:color="000000"/>
        </w:rPr>
        <w:t>&lt;3&gt;在合同规定的期限内对所提供标的物实行运行监督、维修服务的前提条件是该服务并不能免除卖方在质量保证期内所承担的义务；</w:t>
      </w:r>
    </w:p>
    <w:p w14:paraId="43B528D7">
      <w:pPr>
        <w:pStyle w:val="7"/>
        <w:ind w:firstLine="480"/>
        <w:rPr>
          <w:color w:val="auto"/>
          <w:u w:color="000000"/>
        </w:rPr>
      </w:pPr>
      <w:r>
        <w:rPr>
          <w:rFonts w:hint="eastAsia"/>
          <w:color w:val="auto"/>
          <w:u w:color="000000"/>
        </w:rPr>
        <w:t>&lt;4&gt;对买方技术人员的技术指导或培训。</w:t>
      </w:r>
    </w:p>
    <w:p w14:paraId="796CED58">
      <w:pPr>
        <w:pStyle w:val="7"/>
        <w:ind w:firstLine="480"/>
        <w:rPr>
          <w:color w:val="auto"/>
          <w:u w:color="000000"/>
        </w:rPr>
      </w:pPr>
      <w:r>
        <w:rPr>
          <w:rFonts w:hint="eastAsia"/>
          <w:color w:val="auto"/>
          <w:u w:color="000000"/>
        </w:rPr>
        <w:t>(2)除合同另有规定之外，伴随服务的费用均已含在合同价款中，买方不再另行进行支付。</w:t>
      </w:r>
    </w:p>
    <w:p w14:paraId="4F7C3F25">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三.  标的物的交付、检验和验收</w:t>
      </w:r>
    </w:p>
    <w:p w14:paraId="5FEDDAC1">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8.标的物的交付</w:t>
      </w:r>
    </w:p>
    <w:p w14:paraId="3FF2C7DB">
      <w:pPr>
        <w:pStyle w:val="7"/>
        <w:ind w:firstLine="480"/>
        <w:rPr>
          <w:color w:val="auto"/>
          <w:u w:color="000000"/>
        </w:rPr>
      </w:pPr>
      <w:r>
        <w:rPr>
          <w:rFonts w:hint="eastAsia"/>
          <w:color w:val="auto"/>
          <w:u w:color="000000"/>
        </w:rPr>
        <w:t>(1)标的物的所有权自标的物交付时转移。</w:t>
      </w:r>
    </w:p>
    <w:p w14:paraId="1EDEAE7D">
      <w:pPr>
        <w:pStyle w:val="7"/>
        <w:ind w:firstLine="480"/>
        <w:rPr>
          <w:color w:val="auto"/>
          <w:u w:color="000000"/>
        </w:rPr>
      </w:pPr>
      <w:r>
        <w:rPr>
          <w:rFonts w:hint="eastAsia"/>
          <w:color w:val="auto"/>
          <w:u w:color="000000"/>
        </w:rPr>
        <w:t>(2)卖方应当按照约定的期限和约定的地点交付符合招标文件要求的标的物。</w:t>
      </w:r>
    </w:p>
    <w:p w14:paraId="243C65C4">
      <w:pPr>
        <w:pStyle w:val="7"/>
        <w:ind w:firstLine="480"/>
        <w:rPr>
          <w:color w:val="auto"/>
          <w:u w:color="000000"/>
        </w:rPr>
      </w:pPr>
      <w:r>
        <w:rPr>
          <w:rFonts w:hint="eastAsia"/>
          <w:color w:val="auto"/>
          <w:u w:color="000000"/>
        </w:rPr>
        <w:t>(3)卖方应当按照约定或者交易习惯向采购人交付提取标的物单证以外的有关单证和资料。</w:t>
      </w:r>
    </w:p>
    <w:p w14:paraId="74DDB9DA">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9.检验和验收</w:t>
      </w:r>
    </w:p>
    <w:p w14:paraId="57EBE154">
      <w:pPr>
        <w:pStyle w:val="7"/>
        <w:ind w:firstLine="480"/>
        <w:rPr>
          <w:color w:val="auto"/>
          <w:u w:color="000000"/>
        </w:rPr>
      </w:pPr>
      <w:r>
        <w:rPr>
          <w:rFonts w:hint="eastAsia"/>
          <w:color w:val="auto"/>
          <w:u w:color="000000"/>
        </w:rPr>
        <w:t>(1)在交货时，卖方应配合买方对标的物的质量、规格、性能、数量等进行详细而全面的检验，并出具一份合格检验证明，合格检验证明作为验收的依据，但不能作为有关标的物质量、规格、数量或性能的最终检验结果。</w:t>
      </w:r>
    </w:p>
    <w:p w14:paraId="48883FBA">
      <w:pPr>
        <w:pStyle w:val="7"/>
        <w:ind w:firstLine="480"/>
        <w:rPr>
          <w:color w:val="auto"/>
          <w:u w:color="000000"/>
        </w:rPr>
      </w:pPr>
      <w:r>
        <w:rPr>
          <w:rFonts w:hint="eastAsia"/>
          <w:color w:val="auto"/>
          <w:u w:color="000000"/>
        </w:rPr>
        <w:t>(2)买方根据合同规定的内容和验收标准进行验收，经检验无误后出具验收合格证明，该证明作为最终付款所需文件的组成部分。</w:t>
      </w:r>
    </w:p>
    <w:p w14:paraId="2CACCCA0">
      <w:pPr>
        <w:pStyle w:val="7"/>
        <w:ind w:firstLine="480"/>
        <w:rPr>
          <w:color w:val="auto"/>
          <w:u w:color="000000"/>
        </w:rPr>
      </w:pPr>
      <w:r>
        <w:rPr>
          <w:rFonts w:hint="eastAsia"/>
          <w:color w:val="auto"/>
          <w:u w:color="000000"/>
        </w:rPr>
        <w:t>(3)验收期限自标的物交付之日起三十天内。特殊情况需延长的，双方应在合同条款中约定。</w:t>
      </w:r>
    </w:p>
    <w:p w14:paraId="568B2A78">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四. 对标的物提出异议的时间和办法</w:t>
      </w:r>
    </w:p>
    <w:p w14:paraId="2A5F460F">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10.对标的物提出异议的时间和办法 </w:t>
      </w:r>
    </w:p>
    <w:p w14:paraId="0F94262C">
      <w:pPr>
        <w:pStyle w:val="7"/>
        <w:ind w:firstLine="480"/>
        <w:rPr>
          <w:color w:val="auto"/>
          <w:u w:color="000000"/>
        </w:rPr>
      </w:pPr>
      <w:r>
        <w:rPr>
          <w:rFonts w:hint="eastAsia"/>
          <w:color w:val="auto"/>
          <w:u w:color="000000"/>
        </w:rPr>
        <w:t>(1)买方在验收过程中，应当于双方约定的检验期间内将标的物的数量或质量不符合约定的情形及处理方式以书面形式通知卖方。</w:t>
      </w:r>
    </w:p>
    <w:p w14:paraId="29D9D8D2">
      <w:pPr>
        <w:pStyle w:val="7"/>
        <w:ind w:firstLine="480"/>
        <w:rPr>
          <w:color w:val="auto"/>
          <w:u w:color="000000"/>
        </w:rPr>
      </w:pPr>
      <w:r>
        <w:rPr>
          <w:rFonts w:hint="eastAsia"/>
          <w:color w:val="auto"/>
          <w:u w:color="000000"/>
        </w:rPr>
        <w:t>(2)如买方在验收期满后既不出具验收合格证明又未提出书面异议的视为卖方所交标的物符合合同规定。</w:t>
      </w:r>
    </w:p>
    <w:p w14:paraId="5011FA9B">
      <w:pPr>
        <w:pStyle w:val="7"/>
        <w:ind w:firstLine="480"/>
        <w:rPr>
          <w:color w:val="auto"/>
          <w:u w:color="000000"/>
        </w:rPr>
      </w:pPr>
      <w:r>
        <w:rPr>
          <w:rFonts w:hint="eastAsia"/>
          <w:color w:val="auto"/>
          <w:u w:color="000000"/>
        </w:rPr>
        <w:t>(3)卖方应在收到买方书面异议后七天内负责处理问题，否则将视为默认买方提出的异议和处理意见。</w:t>
      </w:r>
    </w:p>
    <w:p w14:paraId="6981D5CF">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五. 合同价款和支付</w:t>
      </w:r>
    </w:p>
    <w:p w14:paraId="72F225E7">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11.合同价款和支付</w:t>
      </w:r>
    </w:p>
    <w:p w14:paraId="62218ABD">
      <w:pPr>
        <w:pStyle w:val="7"/>
        <w:ind w:firstLine="480"/>
        <w:rPr>
          <w:color w:val="auto"/>
          <w:u w:color="000000"/>
        </w:rPr>
      </w:pPr>
      <w:r>
        <w:rPr>
          <w:rFonts w:hint="eastAsia"/>
          <w:color w:val="auto"/>
          <w:u w:color="000000"/>
        </w:rPr>
        <w:t>(1)本合同的结算货币为人民币，单位元。</w:t>
      </w:r>
    </w:p>
    <w:p w14:paraId="6D12E0F5">
      <w:pPr>
        <w:pStyle w:val="7"/>
        <w:ind w:firstLine="480"/>
        <w:rPr>
          <w:color w:val="auto"/>
          <w:u w:color="000000"/>
        </w:rPr>
      </w:pPr>
      <w:r>
        <w:rPr>
          <w:rFonts w:hint="eastAsia"/>
          <w:color w:val="auto"/>
          <w:u w:color="000000"/>
        </w:rPr>
        <w:t>(2)卖方应按照双方签订的合同规定交货并在合同主要条款规定的期限内持下列单据结算货款：</w:t>
      </w:r>
    </w:p>
    <w:p w14:paraId="1335BA65">
      <w:pPr>
        <w:pStyle w:val="7"/>
        <w:ind w:firstLine="480"/>
        <w:rPr>
          <w:color w:val="auto"/>
          <w:u w:color="000000"/>
        </w:rPr>
      </w:pPr>
      <w:r>
        <w:rPr>
          <w:rFonts w:hint="eastAsia"/>
          <w:color w:val="auto"/>
          <w:u w:color="000000"/>
        </w:rPr>
        <w:t>&lt;1&gt;合格的销售发票；</w:t>
      </w:r>
    </w:p>
    <w:p w14:paraId="78F6ABFD">
      <w:pPr>
        <w:pStyle w:val="7"/>
        <w:ind w:firstLine="480"/>
        <w:rPr>
          <w:color w:val="auto"/>
          <w:u w:color="000000"/>
        </w:rPr>
      </w:pPr>
      <w:r>
        <w:rPr>
          <w:rFonts w:hint="eastAsia"/>
          <w:color w:val="auto"/>
          <w:u w:color="000000"/>
        </w:rPr>
        <w:t>&lt;2&gt;买方盖章签收后的送货回单和验收合格证明。</w:t>
      </w:r>
    </w:p>
    <w:p w14:paraId="4CAF3BEF">
      <w:pPr>
        <w:pStyle w:val="7"/>
        <w:ind w:firstLine="480"/>
        <w:rPr>
          <w:color w:val="auto"/>
          <w:u w:color="000000"/>
        </w:rPr>
      </w:pPr>
      <w:r>
        <w:rPr>
          <w:rFonts w:hint="eastAsia"/>
          <w:color w:val="auto"/>
          <w:u w:color="000000"/>
        </w:rPr>
        <w:t>(3)买方应按合同主要条款规定的期限和方式付款。</w:t>
      </w:r>
    </w:p>
    <w:p w14:paraId="271AF6D4">
      <w:pPr>
        <w:pStyle w:val="7"/>
        <w:ind w:firstLine="480"/>
        <w:rPr>
          <w:color w:val="auto"/>
          <w:u w:color="000000"/>
        </w:rPr>
      </w:pPr>
      <w:r>
        <w:rPr>
          <w:rFonts w:hint="eastAsia"/>
          <w:color w:val="auto"/>
          <w:u w:color="000000"/>
        </w:rPr>
        <w:t>(4)根据现行税法对买方征收的与本合同有关的一切税费均由买方承担；根据现行税法对卖方征收的与本合同有关的一切税费均由卖方承担。</w:t>
      </w:r>
    </w:p>
    <w:p w14:paraId="01F911F8">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六. 违约责任</w:t>
      </w:r>
    </w:p>
    <w:p w14:paraId="5FF24740">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12.违约责任</w:t>
      </w:r>
    </w:p>
    <w:p w14:paraId="124B69A7">
      <w:pPr>
        <w:pStyle w:val="7"/>
        <w:ind w:firstLine="480"/>
        <w:rPr>
          <w:color w:val="auto"/>
          <w:u w:color="000000"/>
        </w:rPr>
      </w:pPr>
      <w:r>
        <w:rPr>
          <w:rFonts w:hint="eastAsia"/>
          <w:color w:val="auto"/>
          <w:u w:color="000000"/>
        </w:rPr>
        <w:t>合同一方不履行合同义务或者履行合同义务不符合约定的，应当承担继续履行、采取补救措施或者赔偿损失等违约责任。</w:t>
      </w:r>
    </w:p>
    <w:p w14:paraId="1870943D">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13.买方违约责任</w:t>
      </w:r>
    </w:p>
    <w:p w14:paraId="10B41075">
      <w:pPr>
        <w:pStyle w:val="7"/>
        <w:ind w:firstLine="480"/>
        <w:rPr>
          <w:color w:val="auto"/>
          <w:u w:color="000000"/>
        </w:rPr>
      </w:pPr>
      <w:r>
        <w:rPr>
          <w:rFonts w:hint="eastAsia"/>
          <w:color w:val="auto"/>
          <w:u w:color="000000"/>
        </w:rPr>
        <w:t>(1)在合同生效后，买方要求退货的，应向卖方偿付合同总价款的5%，作为违约金，违约金不足以补偿损失的，卖方有权要求甲方补足。</w:t>
      </w:r>
    </w:p>
    <w:p w14:paraId="6948E098">
      <w:pPr>
        <w:pStyle w:val="7"/>
        <w:ind w:firstLine="480"/>
        <w:rPr>
          <w:color w:val="auto"/>
          <w:u w:color="000000"/>
        </w:rPr>
      </w:pPr>
      <w:r>
        <w:rPr>
          <w:rFonts w:hint="eastAsia"/>
          <w:color w:val="auto"/>
          <w:u w:color="000000"/>
        </w:rPr>
        <w:t>(2)买方逾期付款的应按照逾期付款金额的每天万分之四支付逾期付款违约金。</w:t>
      </w:r>
    </w:p>
    <w:p w14:paraId="0FFE5A79">
      <w:pPr>
        <w:pStyle w:val="7"/>
        <w:ind w:firstLine="480"/>
        <w:rPr>
          <w:color w:val="auto"/>
          <w:u w:color="000000"/>
        </w:rPr>
      </w:pPr>
      <w:r>
        <w:rPr>
          <w:rFonts w:hint="eastAsia"/>
          <w:color w:val="auto"/>
          <w:u w:color="000000"/>
        </w:rPr>
        <w:t>(3)买方违反合同规定，拒绝接收卖方交付的符合招标文件要求的合格标的物，应当承担卖方由此造成的损失。</w:t>
      </w:r>
    </w:p>
    <w:p w14:paraId="4935086E">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14.卖方违约责任</w:t>
      </w:r>
    </w:p>
    <w:p w14:paraId="03499D39">
      <w:pPr>
        <w:pStyle w:val="7"/>
        <w:ind w:firstLine="480"/>
        <w:rPr>
          <w:color w:val="auto"/>
          <w:u w:color="000000"/>
        </w:rPr>
      </w:pPr>
      <w:r>
        <w:rPr>
          <w:rFonts w:hint="eastAsia"/>
          <w:color w:val="auto"/>
          <w:u w:color="000000"/>
        </w:rPr>
        <w:t>(1)卖方不能交货（逾期超过五天视为不能交货），或交货不合格从而影响买方按期正常使用的，应向买方偿付合同总价款5%的违约金，违约金不足以补偿损失的，买方有权要求卖方补足。</w:t>
      </w:r>
    </w:p>
    <w:p w14:paraId="176C708D">
      <w:pPr>
        <w:pStyle w:val="7"/>
        <w:ind w:firstLine="480"/>
        <w:rPr>
          <w:color w:val="auto"/>
          <w:u w:color="000000"/>
        </w:rPr>
      </w:pPr>
      <w:r>
        <w:rPr>
          <w:rFonts w:hint="eastAsia"/>
          <w:color w:val="auto"/>
          <w:u w:color="000000"/>
        </w:rPr>
        <w:t>(2)卖方逾期交货的，应在发货前与买方和政府采购管理部门协商，买方仍需求的，卖方应立即发货并应按照逾期交货部分货款的每天万分之四支付逾期交货违约金，同时承担买方因此遭致的损失费用。</w:t>
      </w:r>
    </w:p>
    <w:p w14:paraId="6205DD82">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15.不可抗力</w:t>
      </w:r>
    </w:p>
    <w:p w14:paraId="784E76E5">
      <w:pPr>
        <w:pStyle w:val="7"/>
        <w:ind w:firstLine="480"/>
        <w:rPr>
          <w:color w:val="auto"/>
          <w:u w:color="000000"/>
        </w:rPr>
      </w:pPr>
      <w:r>
        <w:rPr>
          <w:rFonts w:hint="eastAsia"/>
          <w:color w:val="auto"/>
          <w:u w:color="000000"/>
        </w:rPr>
        <w:t>(1)因水灾、火灾、地震、战争等不可抗力不能履行合同的，根据不可抗力的影响，部分或者全部免除责任。但合同一方迟延履行后发生不可抗力的，不能免除责任。</w:t>
      </w:r>
    </w:p>
    <w:p w14:paraId="6BCFBF3D">
      <w:pPr>
        <w:pStyle w:val="7"/>
        <w:ind w:firstLine="480"/>
        <w:rPr>
          <w:color w:val="auto"/>
          <w:u w:color="000000"/>
        </w:rPr>
      </w:pPr>
      <w:r>
        <w:rPr>
          <w:rFonts w:hint="eastAsia"/>
          <w:color w:val="auto"/>
          <w:u w:color="000000"/>
        </w:rPr>
        <w:t>(2)合同一方因不可抗力不能履行合同的，应当及时通知对方，以减轻可能给对方造成的损失，并应当在合理期限内提供证明。</w:t>
      </w:r>
    </w:p>
    <w:p w14:paraId="3780898E">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七. 索赔</w:t>
      </w:r>
    </w:p>
    <w:p w14:paraId="044783BB">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16.索赔</w:t>
      </w:r>
    </w:p>
    <w:p w14:paraId="7678B608">
      <w:pPr>
        <w:pStyle w:val="7"/>
        <w:ind w:firstLine="480"/>
        <w:rPr>
          <w:color w:val="auto"/>
          <w:u w:color="000000"/>
        </w:rPr>
      </w:pPr>
      <w:r>
        <w:rPr>
          <w:rFonts w:hint="eastAsia"/>
          <w:color w:val="auto"/>
          <w:u w:color="000000"/>
        </w:rPr>
        <w:t>(1)买方有权根据当地产品质量检验机构或其它有权威部门出具的检验证书向卖方提出索赔。</w:t>
      </w:r>
    </w:p>
    <w:p w14:paraId="6202553D">
      <w:pPr>
        <w:pStyle w:val="7"/>
        <w:ind w:firstLine="480"/>
        <w:rPr>
          <w:color w:val="auto"/>
          <w:u w:color="000000"/>
        </w:rPr>
      </w:pPr>
      <w:r>
        <w:rPr>
          <w:rFonts w:hint="eastAsia"/>
          <w:color w:val="auto"/>
          <w:u w:color="000000"/>
        </w:rPr>
        <w:t>(2)在本合同规定的检验期和质量保证期内，如果卖方对买方提出的索赔或差异有责任，则卖方应按买方同意的下列一种或多种方式解决索赔事宜：</w:t>
      </w:r>
    </w:p>
    <w:p w14:paraId="05BD1368">
      <w:pPr>
        <w:pStyle w:val="7"/>
        <w:ind w:firstLine="480"/>
        <w:rPr>
          <w:color w:val="auto"/>
          <w:u w:color="000000"/>
        </w:rPr>
      </w:pPr>
      <w:r>
        <w:rPr>
          <w:rFonts w:hint="eastAsia"/>
          <w:color w:val="auto"/>
          <w:u w:color="000000"/>
        </w:rPr>
        <w:t>&lt;1&gt;卖方同意退货，并按合同规定的货币将货款退还给买方，并承担由此发生的一切损失和费用，包括利息、银行手续费、运费、保险费、检验费、仓储费、装卸费以及为保护退回标的物所需的其它必要费用；</w:t>
      </w:r>
    </w:p>
    <w:p w14:paraId="778E42DE">
      <w:pPr>
        <w:pStyle w:val="7"/>
        <w:ind w:firstLine="480"/>
        <w:rPr>
          <w:color w:val="auto"/>
          <w:u w:color="000000"/>
        </w:rPr>
      </w:pPr>
      <w:r>
        <w:rPr>
          <w:rFonts w:hint="eastAsia"/>
          <w:color w:val="auto"/>
          <w:u w:color="000000"/>
        </w:rPr>
        <w:t>&lt;2&gt;根据标的物的低劣程度、损坏程度以及甲方遭受损失的数额，经双方协商确定降低标的物的价格；</w:t>
      </w:r>
    </w:p>
    <w:p w14:paraId="5AC74D65">
      <w:pPr>
        <w:pStyle w:val="7"/>
        <w:ind w:firstLine="480"/>
        <w:rPr>
          <w:color w:val="auto"/>
          <w:u w:color="000000"/>
        </w:rPr>
      </w:pPr>
      <w:r>
        <w:rPr>
          <w:rFonts w:hint="eastAsia"/>
          <w:color w:val="auto"/>
          <w:u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14:paraId="7F7BC90D">
      <w:pPr>
        <w:pStyle w:val="7"/>
        <w:ind w:firstLine="480"/>
        <w:rPr>
          <w:color w:val="auto"/>
          <w:u w:color="000000"/>
        </w:rPr>
      </w:pPr>
      <w:r>
        <w:rPr>
          <w:rFonts w:hint="eastAsia"/>
          <w:color w:val="auto"/>
          <w:u w:color="000000"/>
        </w:rPr>
        <w:t>(3)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14:paraId="39D155E9">
      <w:pPr>
        <w:pStyle w:val="7"/>
        <w:ind w:firstLine="480"/>
        <w:rPr>
          <w:color w:val="auto"/>
          <w:u w:color="000000"/>
        </w:rPr>
      </w:pPr>
      <w:r>
        <w:rPr>
          <w:rFonts w:hint="eastAsia"/>
          <w:color w:val="auto"/>
          <w:u w:color="000000"/>
        </w:rPr>
        <w:t>(4)买方提出索赔的书面材料应报当地政府采购管理部门备案。卖方同意的索赔方案应报当地政府采购管理部门审核。</w:t>
      </w:r>
    </w:p>
    <w:p w14:paraId="6A12B56D">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八. 履约保证金</w:t>
      </w:r>
    </w:p>
    <w:p w14:paraId="40094111">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17.履约保证金</w:t>
      </w:r>
    </w:p>
    <w:p w14:paraId="46C2B694">
      <w:pPr>
        <w:pStyle w:val="7"/>
        <w:ind w:firstLine="480"/>
        <w:rPr>
          <w:color w:val="auto"/>
          <w:u w:color="000000"/>
        </w:rPr>
      </w:pPr>
      <w:r>
        <w:rPr>
          <w:rFonts w:hint="eastAsia"/>
          <w:color w:val="auto"/>
          <w:u w:color="000000"/>
        </w:rPr>
        <w:t>(1)卖方应在本合同签订时，按招标文件的约定提供相应的履约保证金，保证金的有效期应不低于合同有效期。</w:t>
      </w:r>
    </w:p>
    <w:p w14:paraId="24511589">
      <w:pPr>
        <w:pStyle w:val="7"/>
        <w:ind w:firstLine="480"/>
        <w:rPr>
          <w:color w:val="auto"/>
          <w:u w:color="000000"/>
        </w:rPr>
      </w:pPr>
      <w:r>
        <w:rPr>
          <w:rFonts w:hint="eastAsia"/>
          <w:color w:val="auto"/>
          <w:u w:color="000000"/>
        </w:rPr>
        <w:t>(2)如果卖方未能履行合同规定的任何义务，买方有权从履约保证金中取得补偿。</w:t>
      </w:r>
    </w:p>
    <w:p w14:paraId="2DF6AF38">
      <w:pPr>
        <w:pStyle w:val="7"/>
        <w:ind w:firstLine="480"/>
        <w:rPr>
          <w:color w:val="auto"/>
          <w:kern w:val="2"/>
        </w:rPr>
      </w:pPr>
      <w:r>
        <w:rPr>
          <w:rFonts w:hint="eastAsia"/>
          <w:color w:val="auto"/>
          <w:kern w:val="2"/>
        </w:rPr>
        <w:t>九.  合同的解除和转让</w:t>
      </w:r>
    </w:p>
    <w:p w14:paraId="0218B756">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18.合同的解除</w:t>
      </w:r>
    </w:p>
    <w:p w14:paraId="58520AA3">
      <w:pPr>
        <w:pStyle w:val="7"/>
        <w:ind w:firstLine="480"/>
        <w:rPr>
          <w:color w:val="auto"/>
          <w:u w:color="000000"/>
        </w:rPr>
      </w:pPr>
      <w:r>
        <w:rPr>
          <w:rFonts w:hint="eastAsia"/>
          <w:color w:val="auto"/>
          <w:u w:color="000000"/>
        </w:rPr>
        <w:t>(1)买方和卖方协商一致，可以解除合同。</w:t>
      </w:r>
    </w:p>
    <w:p w14:paraId="2FF3DB4E">
      <w:pPr>
        <w:pStyle w:val="7"/>
        <w:ind w:firstLine="480"/>
        <w:rPr>
          <w:color w:val="auto"/>
          <w:u w:color="000000"/>
        </w:rPr>
      </w:pPr>
      <w:r>
        <w:rPr>
          <w:rFonts w:hint="eastAsia"/>
          <w:color w:val="auto"/>
          <w:u w:color="000000"/>
        </w:rPr>
        <w:t>(2)有下列情形之一，合同一方可以解除合同：</w:t>
      </w:r>
    </w:p>
    <w:p w14:paraId="357CD4A6">
      <w:pPr>
        <w:pStyle w:val="7"/>
        <w:ind w:firstLine="480"/>
        <w:rPr>
          <w:color w:val="auto"/>
          <w:u w:color="000000"/>
        </w:rPr>
      </w:pPr>
      <w:r>
        <w:rPr>
          <w:rFonts w:hint="eastAsia"/>
          <w:color w:val="auto"/>
          <w:u w:color="000000"/>
        </w:rPr>
        <w:t>&lt;1&gt;因不可抗力致使不能实现合同目的，未受不可抗力影响的一方有权解除合同；</w:t>
      </w:r>
    </w:p>
    <w:p w14:paraId="14D96FA9">
      <w:pPr>
        <w:pStyle w:val="7"/>
        <w:ind w:firstLine="480"/>
        <w:rPr>
          <w:color w:val="auto"/>
          <w:u w:color="000000"/>
        </w:rPr>
      </w:pPr>
      <w:r>
        <w:rPr>
          <w:rFonts w:hint="eastAsia"/>
          <w:color w:val="auto"/>
          <w:u w:color="000000"/>
        </w:rPr>
        <w:t>&lt;2&gt;因合同一方违约导致合同不能履行，另一方有权解除合同。</w:t>
      </w:r>
    </w:p>
    <w:p w14:paraId="184608EC">
      <w:pPr>
        <w:pStyle w:val="7"/>
        <w:ind w:firstLine="480"/>
        <w:rPr>
          <w:color w:val="auto"/>
          <w:u w:color="000000"/>
        </w:rPr>
      </w:pPr>
      <w:r>
        <w:rPr>
          <w:rFonts w:hint="eastAsia"/>
          <w:color w:val="auto"/>
          <w:u w:color="000000"/>
        </w:rPr>
        <w:t>(3)有权解除合同的一方，应当在违约事实或不可抗力发生之后三十天内书面通知对方以主张解除合同，合同在书面通知到达对方时解除。</w:t>
      </w:r>
    </w:p>
    <w:p w14:paraId="4F317845">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19.合同的转让</w:t>
      </w:r>
    </w:p>
    <w:p w14:paraId="3574415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合同的部分和全部都不得转让。</w:t>
      </w:r>
    </w:p>
    <w:p w14:paraId="1C046981">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 合同的生效</w:t>
      </w:r>
    </w:p>
    <w:p w14:paraId="47341D9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20.合同的生效</w:t>
      </w:r>
    </w:p>
    <w:p w14:paraId="01F91F1A">
      <w:pPr>
        <w:spacing w:line="440" w:lineRule="exact"/>
        <w:ind w:firstLine="664" w:firstLineChars="277"/>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本合同在双方签字盖章后生效。</w:t>
      </w:r>
    </w:p>
    <w:p w14:paraId="28AC24BA">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十一. 争议解决</w:t>
      </w:r>
    </w:p>
    <w:p w14:paraId="75D5EF7A">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21.争议解决</w:t>
      </w:r>
    </w:p>
    <w:p w14:paraId="2AD83705">
      <w:pPr>
        <w:pStyle w:val="7"/>
        <w:ind w:firstLine="480"/>
        <w:rPr>
          <w:color w:val="auto"/>
          <w:u w:color="000000"/>
        </w:rPr>
      </w:pPr>
      <w:r>
        <w:rPr>
          <w:rFonts w:hint="eastAsia"/>
          <w:color w:val="auto"/>
          <w:u w:color="000000"/>
        </w:rPr>
        <w:t xml:space="preserve"> 买卖双方因合同发生争议，进行调解，协商不成，可选择：</w:t>
      </w:r>
    </w:p>
    <w:p w14:paraId="52CA62BA">
      <w:pPr>
        <w:pStyle w:val="7"/>
        <w:ind w:firstLine="480"/>
        <w:rPr>
          <w:color w:val="auto"/>
          <w:u w:color="000000"/>
        </w:rPr>
      </w:pPr>
      <w:r>
        <w:rPr>
          <w:rFonts w:hint="eastAsia"/>
          <w:color w:val="auto"/>
          <w:u w:color="000000"/>
        </w:rPr>
        <w:t>(1)双方同时</w:t>
      </w:r>
      <w:r>
        <w:rPr>
          <w:rFonts w:hint="eastAsia"/>
          <w:color w:val="auto"/>
        </w:rPr>
        <w:t>将争议提交滁州仲裁委员会</w:t>
      </w:r>
      <w:r>
        <w:rPr>
          <w:rFonts w:hint="eastAsia"/>
          <w:color w:val="auto"/>
          <w:u w:color="000000"/>
        </w:rPr>
        <w:t>进行仲裁；</w:t>
      </w:r>
    </w:p>
    <w:p w14:paraId="3D2E71C5">
      <w:pPr>
        <w:pStyle w:val="7"/>
        <w:ind w:firstLine="480"/>
        <w:rPr>
          <w:color w:val="auto"/>
          <w:u w:color="000000"/>
        </w:rPr>
      </w:pPr>
      <w:r>
        <w:rPr>
          <w:rFonts w:hint="eastAsia"/>
          <w:color w:val="auto"/>
          <w:u w:color="000000"/>
        </w:rPr>
        <w:t>(2)向买方所在地人民法院提起诉讼。</w:t>
      </w:r>
    </w:p>
    <w:p w14:paraId="3CEEE911">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十二 .附则</w:t>
      </w:r>
    </w:p>
    <w:p w14:paraId="189766AF">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22.合同份数。</w:t>
      </w:r>
    </w:p>
    <w:p w14:paraId="264E1C5A">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rPr>
        <w:tab/>
      </w:r>
      <w:r>
        <w:rPr>
          <w:rFonts w:hint="eastAsia" w:asciiTheme="minorEastAsia" w:hAnsiTheme="minorEastAsia" w:eastAsiaTheme="minorEastAsia" w:cstheme="minorEastAsia"/>
          <w:color w:val="auto"/>
          <w:sz w:val="24"/>
          <w:szCs w:val="24"/>
        </w:rPr>
        <w:t xml:space="preserve">  本合同一式陆份，买卖双方各执二份，招标代理机构一份，招标采购管理部门一份。</w:t>
      </w:r>
    </w:p>
    <w:p w14:paraId="7EEAE14D">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23.未尽事宜</w:t>
      </w:r>
    </w:p>
    <w:p w14:paraId="6DCBE2BF">
      <w:pPr>
        <w:spacing w:beforeLines="50" w:afterLines="50"/>
        <w:ind w:firstLine="720" w:firstLineChars="300"/>
        <w:jc w:val="left"/>
        <w:outlineLvl w:val="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本合同未尽事宜应按《中华人民共和国政府采购法》、《中华人民共和国民法典》、《中华人民共和国产品质量法》之规定解释。</w:t>
      </w:r>
    </w:p>
    <w:p w14:paraId="0933F427">
      <w:pPr>
        <w:spacing w:beforeLines="50" w:afterLines="50"/>
        <w:jc w:val="center"/>
        <w:outlineLvl w:val="0"/>
        <w:rPr>
          <w:rFonts w:asciiTheme="minorEastAsia" w:hAnsiTheme="minorEastAsia" w:eastAsiaTheme="minorEastAsia" w:cstheme="minorEastAsia"/>
          <w:color w:val="auto"/>
          <w:sz w:val="24"/>
          <w:szCs w:val="24"/>
        </w:rPr>
      </w:pPr>
    </w:p>
    <w:p w14:paraId="2F6331AE">
      <w:pPr>
        <w:spacing w:line="360" w:lineRule="auto"/>
        <w:ind w:firstLine="562"/>
        <w:jc w:val="center"/>
        <w:outlineLvl w:val="0"/>
        <w:rPr>
          <w:rFonts w:asciiTheme="minorEastAsia" w:hAnsiTheme="minorEastAsia" w:eastAsiaTheme="minorEastAsia"/>
          <w:b/>
          <w:color w:val="auto"/>
          <w:sz w:val="28"/>
        </w:rPr>
      </w:pPr>
    </w:p>
    <w:bookmarkEnd w:id="64"/>
    <w:p w14:paraId="2EDDE529">
      <w:pPr>
        <w:spacing w:line="360" w:lineRule="auto"/>
        <w:ind w:firstLine="562"/>
        <w:jc w:val="center"/>
        <w:outlineLvl w:val="0"/>
        <w:rPr>
          <w:rFonts w:asciiTheme="minorEastAsia" w:hAnsiTheme="minorEastAsia" w:eastAsiaTheme="minorEastAsia"/>
          <w:b/>
          <w:color w:val="auto"/>
          <w:sz w:val="28"/>
        </w:rPr>
      </w:pPr>
      <w:bookmarkStart w:id="76" w:name="_Toc22492"/>
    </w:p>
    <w:p w14:paraId="5FC83D8D">
      <w:pPr>
        <w:pStyle w:val="2"/>
      </w:pPr>
    </w:p>
    <w:p w14:paraId="215D1E5F">
      <w:pPr>
        <w:spacing w:line="360" w:lineRule="auto"/>
        <w:ind w:firstLine="562"/>
        <w:outlineLvl w:val="0"/>
        <w:rPr>
          <w:rFonts w:asciiTheme="minorEastAsia" w:hAnsiTheme="minorEastAsia" w:eastAsiaTheme="minorEastAsia"/>
          <w:b/>
          <w:color w:val="auto"/>
          <w:sz w:val="28"/>
        </w:rPr>
      </w:pPr>
    </w:p>
    <w:p w14:paraId="4E5C0C1A">
      <w:pPr>
        <w:spacing w:line="360" w:lineRule="auto"/>
        <w:ind w:firstLine="562"/>
        <w:jc w:val="center"/>
        <w:outlineLvl w:val="0"/>
        <w:rPr>
          <w:rFonts w:asciiTheme="minorEastAsia" w:hAnsiTheme="minorEastAsia" w:eastAsiaTheme="minorEastAsia"/>
          <w:b/>
          <w:color w:val="auto"/>
          <w:sz w:val="28"/>
          <w:szCs w:val="28"/>
        </w:rPr>
      </w:pPr>
      <w:r>
        <w:rPr>
          <w:rFonts w:hint="eastAsia" w:asciiTheme="minorEastAsia" w:hAnsiTheme="minorEastAsia" w:eastAsiaTheme="minorEastAsia"/>
          <w:b/>
          <w:color w:val="auto"/>
          <w:sz w:val="28"/>
          <w:szCs w:val="28"/>
        </w:rPr>
        <w:t>第六章  投标文件格式</w:t>
      </w:r>
      <w:bookmarkEnd w:id="76"/>
    </w:p>
    <w:p w14:paraId="0F88D4B6">
      <w:pPr>
        <w:spacing w:line="900" w:lineRule="exact"/>
        <w:ind w:firstLine="562"/>
        <w:jc w:val="center"/>
        <w:rPr>
          <w:rFonts w:asciiTheme="minorEastAsia" w:hAnsiTheme="minorEastAsia" w:eastAsiaTheme="minorEastAsia"/>
          <w:b/>
          <w:color w:val="auto"/>
          <w:sz w:val="28"/>
          <w:szCs w:val="28"/>
        </w:rPr>
      </w:pPr>
    </w:p>
    <w:p w14:paraId="0133825C">
      <w:pPr>
        <w:spacing w:line="900" w:lineRule="exact"/>
        <w:ind w:firstLine="1446"/>
        <w:jc w:val="center"/>
        <w:outlineLvl w:val="1"/>
        <w:rPr>
          <w:rFonts w:asciiTheme="minorEastAsia" w:hAnsiTheme="minorEastAsia" w:eastAsiaTheme="minorEastAsia"/>
          <w:b/>
          <w:color w:val="auto"/>
          <w:sz w:val="72"/>
        </w:rPr>
      </w:pPr>
      <w:bookmarkStart w:id="77" w:name="_Toc651"/>
      <w:r>
        <w:rPr>
          <w:rFonts w:hint="eastAsia" w:asciiTheme="minorEastAsia" w:hAnsiTheme="minorEastAsia" w:eastAsiaTheme="minorEastAsia"/>
          <w:b/>
          <w:color w:val="auto"/>
          <w:sz w:val="72"/>
        </w:rPr>
        <w:t>投</w:t>
      </w:r>
      <w:bookmarkEnd w:id="77"/>
    </w:p>
    <w:p w14:paraId="72C407FD">
      <w:pPr>
        <w:spacing w:line="900" w:lineRule="exact"/>
        <w:ind w:firstLine="1446"/>
        <w:jc w:val="center"/>
        <w:rPr>
          <w:rFonts w:asciiTheme="minorEastAsia" w:hAnsiTheme="minorEastAsia" w:eastAsiaTheme="minorEastAsia"/>
          <w:b/>
          <w:color w:val="auto"/>
          <w:sz w:val="72"/>
        </w:rPr>
      </w:pPr>
    </w:p>
    <w:p w14:paraId="739F0B6D">
      <w:pPr>
        <w:spacing w:line="900" w:lineRule="exact"/>
        <w:ind w:firstLine="1446"/>
        <w:jc w:val="center"/>
        <w:outlineLvl w:val="1"/>
        <w:rPr>
          <w:rFonts w:asciiTheme="minorEastAsia" w:hAnsiTheme="minorEastAsia" w:eastAsiaTheme="minorEastAsia"/>
          <w:b/>
          <w:color w:val="auto"/>
          <w:sz w:val="72"/>
        </w:rPr>
      </w:pPr>
      <w:bookmarkStart w:id="78" w:name="_Toc6148"/>
      <w:r>
        <w:rPr>
          <w:rFonts w:hint="eastAsia" w:asciiTheme="minorEastAsia" w:hAnsiTheme="minorEastAsia" w:eastAsiaTheme="minorEastAsia"/>
          <w:b/>
          <w:color w:val="auto"/>
          <w:sz w:val="72"/>
        </w:rPr>
        <w:t>标</w:t>
      </w:r>
      <w:bookmarkEnd w:id="78"/>
    </w:p>
    <w:p w14:paraId="5C26EF70">
      <w:pPr>
        <w:spacing w:line="900" w:lineRule="exact"/>
        <w:ind w:firstLine="1446"/>
        <w:jc w:val="center"/>
        <w:rPr>
          <w:rFonts w:asciiTheme="minorEastAsia" w:hAnsiTheme="minorEastAsia" w:eastAsiaTheme="minorEastAsia"/>
          <w:b/>
          <w:color w:val="auto"/>
          <w:sz w:val="72"/>
        </w:rPr>
      </w:pPr>
    </w:p>
    <w:p w14:paraId="74067C9C">
      <w:pPr>
        <w:spacing w:line="900" w:lineRule="exact"/>
        <w:ind w:firstLine="1446"/>
        <w:jc w:val="center"/>
        <w:outlineLvl w:val="1"/>
        <w:rPr>
          <w:rFonts w:asciiTheme="minorEastAsia" w:hAnsiTheme="minorEastAsia" w:eastAsiaTheme="minorEastAsia"/>
          <w:b/>
          <w:color w:val="auto"/>
          <w:sz w:val="72"/>
        </w:rPr>
      </w:pPr>
      <w:bookmarkStart w:id="79" w:name="_Toc1338"/>
      <w:r>
        <w:rPr>
          <w:rFonts w:hint="eastAsia" w:asciiTheme="minorEastAsia" w:hAnsiTheme="minorEastAsia" w:eastAsiaTheme="minorEastAsia"/>
          <w:b/>
          <w:color w:val="auto"/>
          <w:sz w:val="72"/>
        </w:rPr>
        <w:t>文</w:t>
      </w:r>
      <w:bookmarkEnd w:id="79"/>
    </w:p>
    <w:p w14:paraId="46A470D0">
      <w:pPr>
        <w:spacing w:line="900" w:lineRule="exact"/>
        <w:ind w:firstLine="1446"/>
        <w:jc w:val="center"/>
        <w:rPr>
          <w:rFonts w:asciiTheme="minorEastAsia" w:hAnsiTheme="minorEastAsia" w:eastAsiaTheme="minorEastAsia"/>
          <w:b/>
          <w:color w:val="auto"/>
          <w:sz w:val="72"/>
        </w:rPr>
      </w:pPr>
    </w:p>
    <w:p w14:paraId="058A8164">
      <w:pPr>
        <w:ind w:firstLine="1446"/>
        <w:jc w:val="center"/>
        <w:outlineLvl w:val="1"/>
        <w:rPr>
          <w:rFonts w:hint="eastAsia" w:asciiTheme="minorEastAsia" w:hAnsiTheme="minorEastAsia" w:eastAsiaTheme="minorEastAsia"/>
          <w:b/>
          <w:color w:val="auto"/>
          <w:sz w:val="72"/>
        </w:rPr>
      </w:pPr>
      <w:bookmarkStart w:id="80" w:name="_Toc10796"/>
      <w:r>
        <w:rPr>
          <w:rFonts w:hint="eastAsia" w:asciiTheme="minorEastAsia" w:hAnsiTheme="minorEastAsia" w:eastAsiaTheme="minorEastAsia"/>
          <w:b/>
          <w:color w:val="auto"/>
          <w:sz w:val="72"/>
        </w:rPr>
        <w:t>件</w:t>
      </w:r>
      <w:bookmarkEnd w:id="80"/>
    </w:p>
    <w:p w14:paraId="2163A5A9">
      <w:pPr>
        <w:pStyle w:val="2"/>
      </w:pPr>
    </w:p>
    <w:p w14:paraId="5608DB48">
      <w:pPr>
        <w:spacing w:afterLines="50" w:line="500" w:lineRule="exact"/>
        <w:ind w:firstLine="1446"/>
        <w:rPr>
          <w:rFonts w:asciiTheme="minorEastAsia" w:hAnsiTheme="minorEastAsia" w:eastAsiaTheme="minorEastAsia"/>
          <w:b/>
          <w:color w:val="auto"/>
          <w:sz w:val="72"/>
        </w:rPr>
      </w:pPr>
    </w:p>
    <w:p w14:paraId="76AAA4C6">
      <w:pPr>
        <w:pStyle w:val="24"/>
        <w:framePr w:wrap="around"/>
        <w:rPr>
          <w:color w:val="auto"/>
        </w:rPr>
      </w:pPr>
    </w:p>
    <w:p w14:paraId="16C8EB55">
      <w:pPr>
        <w:tabs>
          <w:tab w:val="left" w:pos="2410"/>
        </w:tabs>
        <w:autoSpaceDE w:val="0"/>
        <w:autoSpaceDN w:val="0"/>
        <w:adjustRightInd w:val="0"/>
        <w:snapToGrid w:val="0"/>
        <w:spacing w:line="360" w:lineRule="auto"/>
        <w:rPr>
          <w:rFonts w:ascii="宋体" w:hAnsi="宋体" w:eastAsia="宋体"/>
          <w:b/>
          <w:color w:val="auto"/>
          <w:spacing w:val="20"/>
          <w:kern w:val="0"/>
          <w:sz w:val="32"/>
          <w:szCs w:val="32"/>
        </w:rPr>
      </w:pPr>
      <w:r>
        <w:rPr>
          <w:rFonts w:hint="eastAsia" w:asciiTheme="minorEastAsia" w:hAnsiTheme="minorEastAsia" w:eastAsiaTheme="minorEastAsia"/>
          <w:b/>
          <w:color w:val="auto"/>
          <w:sz w:val="32"/>
        </w:rPr>
        <w:t>项目名称：</w:t>
      </w:r>
      <w:r>
        <w:rPr>
          <w:rFonts w:hint="eastAsia" w:asciiTheme="minorEastAsia" w:hAnsiTheme="minorEastAsia" w:eastAsiaTheme="minorEastAsia"/>
          <w:b/>
          <w:color w:val="auto"/>
          <w:sz w:val="32"/>
          <w:u w:val="single"/>
        </w:rPr>
        <w:t xml:space="preserve">                  </w:t>
      </w:r>
    </w:p>
    <w:p w14:paraId="41664E27">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auto"/>
          <w:sz w:val="32"/>
        </w:rPr>
      </w:pPr>
    </w:p>
    <w:p w14:paraId="26FD0DD8">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auto"/>
          <w:sz w:val="32"/>
          <w:u w:val="single"/>
        </w:rPr>
      </w:pPr>
      <w:r>
        <w:rPr>
          <w:rFonts w:hint="eastAsia" w:asciiTheme="minorEastAsia" w:hAnsiTheme="minorEastAsia" w:eastAsiaTheme="minorEastAsia"/>
          <w:b/>
          <w:color w:val="auto"/>
          <w:sz w:val="32"/>
        </w:rPr>
        <w:t>投 标 人：</w:t>
      </w:r>
      <w:r>
        <w:rPr>
          <w:rFonts w:hint="eastAsia" w:asciiTheme="minorEastAsia" w:hAnsiTheme="minorEastAsia" w:eastAsiaTheme="minorEastAsia"/>
          <w:b/>
          <w:color w:val="auto"/>
          <w:sz w:val="32"/>
          <w:u w:val="single"/>
        </w:rPr>
        <w:t xml:space="preserve">                  </w:t>
      </w:r>
    </w:p>
    <w:p w14:paraId="69988034">
      <w:pPr>
        <w:spacing w:afterLines="50" w:line="500" w:lineRule="exact"/>
        <w:ind w:firstLine="643"/>
        <w:jc w:val="right"/>
        <w:outlineLvl w:val="1"/>
        <w:rPr>
          <w:rFonts w:asciiTheme="minorEastAsia" w:hAnsiTheme="minorEastAsia" w:eastAsiaTheme="minorEastAsia"/>
          <w:b/>
          <w:color w:val="auto"/>
          <w:sz w:val="32"/>
        </w:rPr>
      </w:pPr>
      <w:r>
        <w:rPr>
          <w:rFonts w:hint="eastAsia" w:asciiTheme="minorEastAsia" w:hAnsiTheme="minorEastAsia" w:eastAsiaTheme="minorEastAsia"/>
          <w:b/>
          <w:color w:val="auto"/>
          <w:sz w:val="32"/>
          <w:u w:val="single"/>
          <w:lang w:val="en-US" w:eastAsia="zh-CN"/>
        </w:rPr>
        <w:t xml:space="preserve">   </w:t>
      </w:r>
      <w:r>
        <w:rPr>
          <w:rFonts w:hint="eastAsia" w:asciiTheme="minorEastAsia" w:hAnsiTheme="minorEastAsia" w:eastAsiaTheme="minorEastAsia"/>
          <w:b/>
          <w:color w:val="auto"/>
          <w:sz w:val="32"/>
          <w:u w:val="single"/>
        </w:rPr>
        <w:t xml:space="preserve">  </w:t>
      </w:r>
      <w:bookmarkStart w:id="81" w:name="_Toc9994"/>
      <w:bookmarkStart w:id="82" w:name="_Toc8037"/>
      <w:r>
        <w:rPr>
          <w:rFonts w:hint="eastAsia" w:asciiTheme="minorEastAsia" w:hAnsiTheme="minorEastAsia" w:eastAsiaTheme="minorEastAsia"/>
          <w:b/>
          <w:color w:val="auto"/>
          <w:sz w:val="32"/>
        </w:rPr>
        <w:t>年</w:t>
      </w:r>
      <w:r>
        <w:rPr>
          <w:rFonts w:hint="eastAsia" w:asciiTheme="minorEastAsia" w:hAnsiTheme="minorEastAsia" w:eastAsiaTheme="minorEastAsia"/>
          <w:b/>
          <w:color w:val="auto"/>
          <w:sz w:val="32"/>
          <w:u w:val="single"/>
        </w:rPr>
        <w:t xml:space="preserve">  </w:t>
      </w:r>
      <w:r>
        <w:rPr>
          <w:rFonts w:hint="eastAsia" w:asciiTheme="minorEastAsia" w:hAnsiTheme="minorEastAsia" w:eastAsiaTheme="minorEastAsia"/>
          <w:b/>
          <w:color w:val="auto"/>
          <w:sz w:val="32"/>
        </w:rPr>
        <w:t>月</w:t>
      </w:r>
      <w:r>
        <w:rPr>
          <w:rFonts w:hint="eastAsia" w:asciiTheme="minorEastAsia" w:hAnsiTheme="minorEastAsia" w:eastAsiaTheme="minorEastAsia"/>
          <w:b/>
          <w:color w:val="auto"/>
          <w:sz w:val="32"/>
          <w:u w:val="single"/>
        </w:rPr>
        <w:t xml:space="preserve">  </w:t>
      </w:r>
      <w:r>
        <w:rPr>
          <w:rFonts w:hint="eastAsia" w:asciiTheme="minorEastAsia" w:hAnsiTheme="minorEastAsia" w:eastAsiaTheme="minorEastAsia"/>
          <w:b/>
          <w:color w:val="auto"/>
          <w:sz w:val="32"/>
        </w:rPr>
        <w:t>日</w:t>
      </w:r>
      <w:bookmarkEnd w:id="81"/>
      <w:bookmarkEnd w:id="82"/>
    </w:p>
    <w:p w14:paraId="1ED0A480">
      <w:pPr>
        <w:widowControl/>
        <w:ind w:firstLine="562"/>
        <w:jc w:val="left"/>
        <w:rPr>
          <w:rFonts w:asciiTheme="minorEastAsia" w:hAnsiTheme="minorEastAsia" w:eastAsiaTheme="minorEastAsia"/>
          <w:b/>
          <w:color w:val="auto"/>
          <w:sz w:val="28"/>
        </w:rPr>
      </w:pPr>
      <w:r>
        <w:rPr>
          <w:rFonts w:asciiTheme="minorEastAsia" w:hAnsiTheme="minorEastAsia" w:eastAsiaTheme="minorEastAsia"/>
          <w:b/>
          <w:color w:val="auto"/>
          <w:sz w:val="28"/>
        </w:rPr>
        <w:br w:type="page"/>
      </w:r>
    </w:p>
    <w:p w14:paraId="7A3BB7DF">
      <w:pPr>
        <w:spacing w:line="440" w:lineRule="exact"/>
        <w:jc w:val="center"/>
        <w:rPr>
          <w:rFonts w:ascii="Times New Roman" w:hAnsi="Times New Roman" w:eastAsia="黑体" w:cs="Times New Roman"/>
          <w:sz w:val="28"/>
          <w:szCs w:val="28"/>
        </w:rPr>
      </w:pPr>
      <w:bookmarkStart w:id="83" w:name="_Toc21974_WPSOffice_Level2"/>
      <w:bookmarkStart w:id="84" w:name="_Toc22351_WPSOffice_Level2"/>
      <w:r>
        <w:rPr>
          <w:rFonts w:ascii="Times New Roman" w:hAnsi="Times New Roman" w:eastAsia="黑体" w:cs="Times New Roman"/>
          <w:sz w:val="28"/>
          <w:szCs w:val="28"/>
        </w:rPr>
        <w:t>目</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录</w:t>
      </w:r>
      <w:bookmarkEnd w:id="83"/>
      <w:bookmarkEnd w:id="84"/>
    </w:p>
    <w:p w14:paraId="58750951">
      <w:pPr>
        <w:spacing w:line="440" w:lineRule="exact"/>
        <w:rPr>
          <w:rFonts w:ascii="Times New Roman" w:hAnsi="Times New Roman" w:eastAsia="黑体" w:cs="Times New Roman"/>
          <w:sz w:val="20"/>
          <w:szCs w:val="20"/>
        </w:rPr>
      </w:pPr>
    </w:p>
    <w:p w14:paraId="2DD93D81">
      <w:pPr>
        <w:spacing w:line="440" w:lineRule="exact"/>
        <w:ind w:left="1619" w:leftChars="771"/>
        <w:rPr>
          <w:rFonts w:ascii="Times New Roman" w:hAnsi="Times New Roman" w:eastAsia="黑体" w:cs="Times New Roman"/>
          <w:sz w:val="24"/>
          <w:szCs w:val="24"/>
        </w:rPr>
      </w:pPr>
      <w:bookmarkStart w:id="85" w:name="_Toc23368_WPSOffice_Level1"/>
      <w:bookmarkStart w:id="86" w:name="_Toc6353_WPSOffice_Level1"/>
      <w:bookmarkStart w:id="87" w:name="_Toc30529_WPSOffice_Level1"/>
      <w:bookmarkStart w:id="88" w:name="_Toc11424_WPSOffice_Level1"/>
      <w:bookmarkStart w:id="89" w:name="_Toc12670_WPSOffice_Level1"/>
      <w:r>
        <w:rPr>
          <w:rFonts w:ascii="Times New Roman" w:hAnsi="Times New Roman" w:eastAsia="黑体" w:cs="Times New Roman"/>
          <w:sz w:val="24"/>
          <w:szCs w:val="24"/>
        </w:rPr>
        <w:t>一、报价函</w:t>
      </w:r>
      <w:bookmarkEnd w:id="85"/>
      <w:bookmarkEnd w:id="86"/>
      <w:bookmarkEnd w:id="87"/>
      <w:bookmarkEnd w:id="88"/>
    </w:p>
    <w:p w14:paraId="7B8B18DA">
      <w:pPr>
        <w:spacing w:line="440" w:lineRule="exact"/>
        <w:ind w:left="1619" w:leftChars="771"/>
        <w:rPr>
          <w:rFonts w:ascii="Times New Roman" w:hAnsi="Times New Roman" w:eastAsia="黑体" w:cs="Times New Roman"/>
          <w:sz w:val="24"/>
          <w:szCs w:val="24"/>
        </w:rPr>
      </w:pPr>
      <w:bookmarkStart w:id="90" w:name="_Toc21229_WPSOffice_Level1"/>
      <w:bookmarkStart w:id="91" w:name="_Toc5317_WPSOffice_Level1"/>
      <w:bookmarkStart w:id="92" w:name="_Toc31927_WPSOffice_Level1"/>
      <w:bookmarkStart w:id="93" w:name="_Toc32729_WPSOffice_Level1"/>
      <w:r>
        <w:rPr>
          <w:rFonts w:ascii="Times New Roman" w:hAnsi="Times New Roman" w:eastAsia="黑体" w:cs="Times New Roman"/>
          <w:sz w:val="24"/>
          <w:szCs w:val="24"/>
        </w:rPr>
        <w:t>二、法定代表人身份证明及授权委托书</w:t>
      </w:r>
      <w:bookmarkEnd w:id="90"/>
      <w:bookmarkEnd w:id="91"/>
      <w:bookmarkEnd w:id="92"/>
      <w:bookmarkEnd w:id="93"/>
    </w:p>
    <w:p w14:paraId="42039C5D">
      <w:pPr>
        <w:spacing w:line="440" w:lineRule="exact"/>
        <w:ind w:left="1619" w:leftChars="771"/>
        <w:rPr>
          <w:rFonts w:ascii="Times New Roman" w:hAnsi="Times New Roman" w:eastAsia="黑体" w:cs="Times New Roman"/>
          <w:sz w:val="24"/>
          <w:szCs w:val="24"/>
        </w:rPr>
      </w:pPr>
      <w:bookmarkStart w:id="94" w:name="_Toc25965_WPSOffice_Level1"/>
      <w:bookmarkStart w:id="95" w:name="_Toc23356_WPSOffice_Level1"/>
      <w:bookmarkStart w:id="96" w:name="_Toc29085_WPSOffice_Level1"/>
      <w:bookmarkStart w:id="97" w:name="_Toc4728_WPSOffice_Level1"/>
      <w:r>
        <w:rPr>
          <w:rFonts w:hint="eastAsia" w:ascii="Times New Roman" w:hAnsi="Times New Roman" w:eastAsia="黑体" w:cs="Times New Roman"/>
          <w:sz w:val="24"/>
          <w:szCs w:val="24"/>
        </w:rPr>
        <w:t>三</w:t>
      </w:r>
      <w:r>
        <w:rPr>
          <w:rFonts w:ascii="Times New Roman" w:hAnsi="Times New Roman" w:eastAsia="黑体" w:cs="Times New Roman"/>
          <w:sz w:val="24"/>
          <w:szCs w:val="24"/>
        </w:rPr>
        <w:t>、已标价</w:t>
      </w:r>
      <w:r>
        <w:rPr>
          <w:rFonts w:hint="eastAsia" w:ascii="Times New Roman" w:hAnsi="Times New Roman" w:eastAsia="黑体" w:cs="Times New Roman"/>
          <w:sz w:val="24"/>
          <w:szCs w:val="24"/>
        </w:rPr>
        <w:t>的</w:t>
      </w:r>
      <w:bookmarkEnd w:id="94"/>
      <w:bookmarkEnd w:id="95"/>
      <w:bookmarkEnd w:id="96"/>
      <w:bookmarkEnd w:id="97"/>
      <w:r>
        <w:rPr>
          <w:rFonts w:hint="eastAsia" w:ascii="Times New Roman" w:hAnsi="Times New Roman" w:eastAsia="黑体" w:cs="Times New Roman"/>
          <w:sz w:val="24"/>
          <w:szCs w:val="24"/>
        </w:rPr>
        <w:t>报价清单</w:t>
      </w:r>
    </w:p>
    <w:p w14:paraId="158D4C14">
      <w:pPr>
        <w:spacing w:line="440" w:lineRule="exact"/>
        <w:ind w:left="1619" w:leftChars="771"/>
        <w:rPr>
          <w:rFonts w:ascii="Times New Roman" w:hAnsi="Times New Roman" w:eastAsia="黑体" w:cs="Times New Roman"/>
          <w:sz w:val="24"/>
          <w:szCs w:val="24"/>
        </w:rPr>
      </w:pPr>
      <w:bookmarkStart w:id="98" w:name="_Toc23744_WPSOffice_Level1"/>
      <w:bookmarkStart w:id="99" w:name="_Toc18964_WPSOffice_Level1"/>
      <w:bookmarkStart w:id="100" w:name="_Toc7453_WPSOffice_Level1"/>
      <w:bookmarkStart w:id="101" w:name="_Toc10608_WPSOffice_Level1"/>
      <w:r>
        <w:rPr>
          <w:rFonts w:hint="eastAsia" w:ascii="Times New Roman" w:hAnsi="Times New Roman" w:eastAsia="黑体" w:cs="Times New Roman"/>
          <w:sz w:val="24"/>
          <w:szCs w:val="24"/>
        </w:rPr>
        <w:t>四</w:t>
      </w:r>
      <w:r>
        <w:rPr>
          <w:rFonts w:ascii="Times New Roman" w:hAnsi="Times New Roman" w:eastAsia="黑体" w:cs="Times New Roman"/>
          <w:sz w:val="24"/>
          <w:szCs w:val="24"/>
        </w:rPr>
        <w:t>、</w:t>
      </w:r>
      <w:bookmarkEnd w:id="98"/>
      <w:bookmarkEnd w:id="99"/>
      <w:bookmarkEnd w:id="100"/>
      <w:bookmarkEnd w:id="101"/>
      <w:r>
        <w:rPr>
          <w:rFonts w:hint="eastAsia" w:ascii="Times New Roman" w:hAnsi="Times New Roman" w:eastAsia="黑体" w:cs="Times New Roman"/>
          <w:sz w:val="24"/>
          <w:szCs w:val="24"/>
        </w:rPr>
        <w:t>供应商基本情况</w:t>
      </w:r>
    </w:p>
    <w:p w14:paraId="43BEB310">
      <w:pPr>
        <w:spacing w:line="440" w:lineRule="exact"/>
        <w:ind w:left="1619" w:leftChars="771"/>
        <w:rPr>
          <w:rFonts w:ascii="Times New Roman" w:hAnsi="Times New Roman" w:eastAsia="黑体" w:cs="Times New Roman"/>
          <w:sz w:val="24"/>
          <w:szCs w:val="24"/>
        </w:rPr>
      </w:pPr>
      <w:bookmarkStart w:id="102" w:name="_Toc19601_WPSOffice_Level1"/>
      <w:bookmarkStart w:id="103" w:name="_Toc1578_WPSOffice_Level1"/>
      <w:bookmarkStart w:id="104" w:name="_Toc23751_WPSOffice_Level1"/>
      <w:bookmarkStart w:id="105" w:name="_Toc9006_WPSOffice_Level1"/>
      <w:r>
        <w:rPr>
          <w:rFonts w:hint="eastAsia" w:ascii="Times New Roman" w:hAnsi="Times New Roman" w:eastAsia="黑体" w:cs="Times New Roman"/>
          <w:sz w:val="24"/>
          <w:szCs w:val="24"/>
        </w:rPr>
        <w:t>五、</w:t>
      </w:r>
      <w:bookmarkEnd w:id="102"/>
      <w:bookmarkEnd w:id="103"/>
      <w:bookmarkEnd w:id="104"/>
      <w:bookmarkEnd w:id="105"/>
      <w:r>
        <w:rPr>
          <w:rFonts w:hint="eastAsia" w:ascii="Times New Roman" w:hAnsi="Times New Roman" w:eastAsia="黑体" w:cs="Times New Roman"/>
          <w:sz w:val="24"/>
          <w:szCs w:val="24"/>
        </w:rPr>
        <w:t>近年类似业绩情况</w:t>
      </w:r>
    </w:p>
    <w:p w14:paraId="24EE0C96">
      <w:pPr>
        <w:spacing w:line="440" w:lineRule="exact"/>
        <w:ind w:left="1619" w:leftChars="771"/>
        <w:rPr>
          <w:rFonts w:ascii="Times New Roman" w:hAnsi="Times New Roman" w:eastAsia="黑体" w:cs="Times New Roman"/>
          <w:sz w:val="24"/>
          <w:szCs w:val="24"/>
        </w:rPr>
      </w:pPr>
      <w:bookmarkStart w:id="106" w:name="_Toc31314_WPSOffice_Level1"/>
      <w:bookmarkStart w:id="107" w:name="_Toc24082_WPSOffice_Level1"/>
      <w:bookmarkStart w:id="108" w:name="_Toc12459_WPSOffice_Level1"/>
      <w:bookmarkStart w:id="109" w:name="_Toc24262_WPSOffice_Level1"/>
      <w:r>
        <w:rPr>
          <w:rFonts w:hint="eastAsia" w:ascii="Times New Roman" w:hAnsi="Times New Roman" w:eastAsia="黑体" w:cs="Times New Roman"/>
          <w:sz w:val="24"/>
          <w:szCs w:val="24"/>
        </w:rPr>
        <w:t>六</w:t>
      </w:r>
      <w:r>
        <w:rPr>
          <w:rFonts w:ascii="Times New Roman" w:hAnsi="Times New Roman" w:eastAsia="黑体" w:cs="Times New Roman"/>
          <w:sz w:val="24"/>
          <w:szCs w:val="24"/>
        </w:rPr>
        <w:t>、</w:t>
      </w:r>
      <w:bookmarkEnd w:id="106"/>
      <w:bookmarkEnd w:id="107"/>
      <w:r>
        <w:rPr>
          <w:rFonts w:hint="eastAsia" w:ascii="Times New Roman" w:hAnsi="Times New Roman" w:eastAsia="黑体" w:cs="Times New Roman"/>
          <w:sz w:val="24"/>
          <w:szCs w:val="24"/>
        </w:rPr>
        <w:t>信誉情况</w:t>
      </w:r>
    </w:p>
    <w:p w14:paraId="1DB94DF3">
      <w:pPr>
        <w:spacing w:line="440" w:lineRule="exact"/>
        <w:ind w:left="1619" w:leftChars="771"/>
        <w:rPr>
          <w:rFonts w:ascii="Times New Roman" w:hAnsi="Times New Roman" w:eastAsia="黑体" w:cs="Times New Roman"/>
          <w:sz w:val="24"/>
          <w:szCs w:val="24"/>
        </w:rPr>
      </w:pPr>
      <w:bookmarkStart w:id="110" w:name="_Toc20930_WPSOffice_Level1"/>
      <w:bookmarkStart w:id="111" w:name="_Toc32220_WPSOffice_Level1"/>
      <w:r>
        <w:rPr>
          <w:rFonts w:hint="eastAsia" w:ascii="Times New Roman" w:hAnsi="Times New Roman" w:eastAsia="黑体" w:cs="Times New Roman"/>
          <w:sz w:val="24"/>
          <w:szCs w:val="24"/>
        </w:rPr>
        <w:t>七</w:t>
      </w:r>
      <w:bookmarkEnd w:id="108"/>
      <w:bookmarkEnd w:id="109"/>
      <w:bookmarkEnd w:id="110"/>
      <w:bookmarkEnd w:id="111"/>
      <w:bookmarkStart w:id="112" w:name="_Toc25804_WPSOffice_Level1"/>
      <w:bookmarkStart w:id="113" w:name="_Toc32648_WPSOffice_Level1"/>
      <w:bookmarkStart w:id="114" w:name="_Toc30273_WPSOffice_Level1"/>
      <w:bookmarkStart w:id="115" w:name="_Toc27403_WPSOffice_Level1"/>
      <w:r>
        <w:rPr>
          <w:rFonts w:ascii="Times New Roman" w:hAnsi="Times New Roman" w:eastAsia="黑体" w:cs="Times New Roman"/>
          <w:sz w:val="24"/>
          <w:szCs w:val="24"/>
        </w:rPr>
        <w:t>、</w:t>
      </w:r>
      <w:bookmarkEnd w:id="112"/>
      <w:bookmarkEnd w:id="113"/>
      <w:bookmarkEnd w:id="114"/>
      <w:bookmarkEnd w:id="115"/>
      <w:r>
        <w:rPr>
          <w:rFonts w:hint="eastAsia" w:ascii="Times New Roman" w:hAnsi="Times New Roman" w:eastAsia="黑体" w:cs="Times New Roman"/>
          <w:sz w:val="24"/>
          <w:szCs w:val="24"/>
        </w:rPr>
        <w:t>技术性能（质量）指标描述</w:t>
      </w:r>
    </w:p>
    <w:p w14:paraId="34057D54">
      <w:pPr>
        <w:spacing w:line="440" w:lineRule="exact"/>
        <w:ind w:left="1619" w:leftChars="771"/>
        <w:rPr>
          <w:rFonts w:ascii="Times New Roman" w:hAnsi="Times New Roman" w:eastAsia="黑体" w:cs="Times New Roman"/>
          <w:sz w:val="24"/>
          <w:szCs w:val="24"/>
        </w:rPr>
      </w:pPr>
      <w:bookmarkStart w:id="116" w:name="_Toc32152_WPSOffice_Level1"/>
      <w:bookmarkStart w:id="117" w:name="_Toc4051_WPSOffice_Level1"/>
      <w:bookmarkStart w:id="118" w:name="_Toc23147_WPSOffice_Level1"/>
      <w:bookmarkStart w:id="119" w:name="_Toc30234_WPSOffice_Level1"/>
      <w:r>
        <w:rPr>
          <w:rFonts w:hint="eastAsia" w:ascii="Times New Roman" w:hAnsi="Times New Roman" w:eastAsia="黑体" w:cs="Times New Roman"/>
          <w:sz w:val="24"/>
          <w:szCs w:val="24"/>
        </w:rPr>
        <w:t>八</w:t>
      </w:r>
      <w:r>
        <w:rPr>
          <w:rFonts w:ascii="Times New Roman" w:hAnsi="Times New Roman" w:eastAsia="黑体" w:cs="Times New Roman"/>
          <w:sz w:val="24"/>
          <w:szCs w:val="24"/>
        </w:rPr>
        <w:t>、</w:t>
      </w:r>
      <w:bookmarkEnd w:id="116"/>
      <w:bookmarkEnd w:id="117"/>
      <w:bookmarkEnd w:id="118"/>
      <w:bookmarkEnd w:id="119"/>
      <w:r>
        <w:rPr>
          <w:rFonts w:hint="eastAsia" w:ascii="Times New Roman" w:hAnsi="Times New Roman" w:eastAsia="黑体" w:cs="Times New Roman"/>
          <w:sz w:val="24"/>
          <w:szCs w:val="24"/>
        </w:rPr>
        <w:t>供货方案</w:t>
      </w:r>
    </w:p>
    <w:p w14:paraId="2E7324AA">
      <w:pPr>
        <w:spacing w:line="440" w:lineRule="exact"/>
        <w:ind w:left="1619" w:leftChars="771"/>
        <w:rPr>
          <w:rFonts w:ascii="Times New Roman" w:hAnsi="Times New Roman" w:eastAsia="黑体" w:cs="Times New Roman"/>
          <w:sz w:val="24"/>
          <w:szCs w:val="24"/>
        </w:rPr>
      </w:pPr>
      <w:bookmarkStart w:id="120" w:name="_Toc5885_WPSOffice_Level1"/>
      <w:bookmarkStart w:id="121" w:name="_Toc16988_WPSOffice_Level1"/>
      <w:r>
        <w:rPr>
          <w:rFonts w:hint="eastAsia" w:ascii="Times New Roman" w:hAnsi="Times New Roman" w:eastAsia="黑体" w:cs="Times New Roman"/>
          <w:sz w:val="24"/>
          <w:szCs w:val="24"/>
        </w:rPr>
        <w:t>九、其他材料</w:t>
      </w:r>
      <w:bookmarkEnd w:id="89"/>
      <w:bookmarkEnd w:id="120"/>
      <w:bookmarkEnd w:id="121"/>
    </w:p>
    <w:p w14:paraId="1D5CA687">
      <w:pPr>
        <w:spacing w:line="440" w:lineRule="exact"/>
        <w:ind w:left="1619" w:leftChars="771"/>
        <w:rPr>
          <w:rFonts w:ascii="Times New Roman" w:hAnsi="Times New Roman" w:eastAsia="黑体" w:cs="Times New Roman"/>
          <w:sz w:val="24"/>
          <w:szCs w:val="24"/>
        </w:rPr>
      </w:pPr>
    </w:p>
    <w:p w14:paraId="29987C68">
      <w:pPr>
        <w:spacing w:line="360" w:lineRule="auto"/>
        <w:ind w:firstLine="480"/>
        <w:rPr>
          <w:rFonts w:asciiTheme="minorEastAsia" w:hAnsiTheme="minorEastAsia" w:eastAsiaTheme="minorEastAsia"/>
          <w:color w:val="auto"/>
          <w:sz w:val="24"/>
        </w:rPr>
      </w:pPr>
      <w:r>
        <w:rPr>
          <w:rFonts w:asciiTheme="minorEastAsia" w:hAnsiTheme="minorEastAsia" w:eastAsiaTheme="minorEastAsia"/>
          <w:color w:val="auto"/>
          <w:sz w:val="24"/>
        </w:rPr>
        <w:br w:type="page"/>
      </w:r>
    </w:p>
    <w:p w14:paraId="68D3AB66">
      <w:pPr>
        <w:numPr>
          <w:ilvl w:val="0"/>
          <w:numId w:val="12"/>
        </w:numPr>
        <w:spacing w:line="440" w:lineRule="exact"/>
        <w:jc w:val="center"/>
        <w:rPr>
          <w:rFonts w:ascii="Calibri" w:hAnsi="Calibri" w:eastAsia="宋体" w:cs="Times New Roman"/>
          <w:szCs w:val="24"/>
        </w:rPr>
      </w:pPr>
      <w:bookmarkStart w:id="122" w:name="_Toc18312_WPSOffice_Level1"/>
      <w:bookmarkStart w:id="123" w:name="_Toc1687_WPSOffice_Level1"/>
      <w:bookmarkStart w:id="124" w:name="_Toc30031_WPSOffice_Level1"/>
      <w:bookmarkStart w:id="125" w:name="_Toc29399_WPSOffice_Level1"/>
      <w:bookmarkStart w:id="126" w:name="_Toc2765_WPSOffice_Level1"/>
      <w:r>
        <w:rPr>
          <w:rFonts w:ascii="Times New Roman" w:hAnsi="Times New Roman" w:eastAsia="黑体" w:cs="Times New Roman"/>
          <w:sz w:val="28"/>
          <w:szCs w:val="28"/>
        </w:rPr>
        <w:t>报价函</w:t>
      </w:r>
      <w:bookmarkEnd w:id="122"/>
      <w:bookmarkEnd w:id="123"/>
      <w:bookmarkEnd w:id="124"/>
      <w:bookmarkEnd w:id="125"/>
      <w:bookmarkEnd w:id="126"/>
    </w:p>
    <w:p w14:paraId="19D8F861">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(采购人名称)：</w:t>
      </w:r>
    </w:p>
    <w:p w14:paraId="0916A519">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1．我方已仔细研究了</w:t>
      </w:r>
      <w:r>
        <w:rPr>
          <w:rFonts w:hint="eastAsia" w:ascii="Times New Roman" w:hAnsi="Times New Roman" w:eastAsia="宋体" w:cs="Times New Roman"/>
          <w:szCs w:val="22"/>
          <w:u w:val="single"/>
        </w:rPr>
        <w:t>第</w:t>
      </w:r>
      <w:r>
        <w:rPr>
          <w:rFonts w:ascii="Times New Roman" w:hAnsi="Times New Roman" w:eastAsia="宋体" w:cs="Times New Roman"/>
          <w:sz w:val="24"/>
          <w:szCs w:val="24"/>
        </w:rPr>
        <w:t>合同包询比文件的全部内容，愿意以人民币(大写)(小写：¥)的总报价，</w:t>
      </w:r>
      <w:r>
        <w:rPr>
          <w:rFonts w:hint="eastAsia" w:ascii="Times New Roman" w:hAnsi="Times New Roman" w:eastAsia="宋体" w:cs="Times New Roman"/>
          <w:sz w:val="24"/>
          <w:szCs w:val="24"/>
        </w:rPr>
        <w:t>交货期</w:t>
      </w:r>
      <w:r>
        <w:rPr>
          <w:rFonts w:ascii="Times New Roman" w:hAnsi="Times New Roman" w:eastAsia="宋体" w:cs="Times New Roman"/>
          <w:sz w:val="24"/>
          <w:szCs w:val="24"/>
        </w:rPr>
        <w:t>，按合同约定实施和完成</w:t>
      </w:r>
      <w:r>
        <w:rPr>
          <w:rFonts w:hint="eastAsia" w:ascii="Times New Roman" w:hAnsi="Times New Roman" w:eastAsia="宋体" w:cs="Times New Roman"/>
          <w:sz w:val="24"/>
          <w:szCs w:val="24"/>
        </w:rPr>
        <w:t>供货及提供相关服务</w:t>
      </w:r>
      <w:r>
        <w:rPr>
          <w:rFonts w:ascii="Times New Roman" w:hAnsi="Times New Roman" w:eastAsia="宋体" w:cs="Times New Roman"/>
          <w:sz w:val="24"/>
          <w:szCs w:val="24"/>
        </w:rPr>
        <w:t>，质量目标达到。</w:t>
      </w:r>
    </w:p>
    <w:p w14:paraId="19D131BD">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2．我方承诺在响应有效期内不修改、撤销响应文件。</w:t>
      </w:r>
    </w:p>
    <w:p w14:paraId="41FD7C86">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．如我方成交：</w:t>
      </w:r>
    </w:p>
    <w:p w14:paraId="673021EF">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(1)我方承诺在收到成交通知书后，在成交通知书规定的期限内与你方签订合同。</w:t>
      </w:r>
    </w:p>
    <w:p w14:paraId="2686B0E4">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(2)我方承诺按照询比文件规定向你方递交履约担保。</w:t>
      </w:r>
    </w:p>
    <w:p w14:paraId="54B3A4A0">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(3)我方承诺在合同约定的期限内完成全部合同任务。</w:t>
      </w:r>
    </w:p>
    <w:p w14:paraId="70E1BD8A">
      <w:pPr>
        <w:widowControl w:val="0"/>
        <w:spacing w:after="120"/>
        <w:ind w:firstLine="480" w:firstLineChars="200"/>
        <w:jc w:val="both"/>
        <w:rPr>
          <w:rFonts w:ascii="Calibri" w:hAnsi="Calibri" w:eastAsia="宋体" w:cs="Times New Roman"/>
          <w:kern w:val="2"/>
          <w:sz w:val="21"/>
          <w:szCs w:val="24"/>
          <w:lang w:val="en-US" w:eastAsia="zh-CN" w:bidi="ar-SA"/>
        </w:rPr>
      </w:pPr>
      <w:r>
        <w:rPr>
          <w:rFonts w:hint="eastAsia" w:ascii="Times New Roman" w:hAnsi="Times New Roman" w:eastAsia="宋体" w:cs="Times New Roman"/>
          <w:kern w:val="2"/>
          <w:sz w:val="24"/>
          <w:szCs w:val="24"/>
          <w:lang w:val="en-US" w:eastAsia="zh-CN" w:bidi="ar-SA"/>
        </w:rPr>
        <w:t>(4)我方承诺车辆符合国家入户、上牌标准，如因我方原因车辆不能入户，损失由我方赔付。</w:t>
      </w:r>
    </w:p>
    <w:p w14:paraId="1C88C86E">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4</w:t>
      </w:r>
      <w:r>
        <w:rPr>
          <w:rFonts w:ascii="Times New Roman" w:hAnsi="Times New Roman" w:eastAsia="宋体" w:cs="Times New Roman"/>
          <w:sz w:val="24"/>
          <w:szCs w:val="24"/>
        </w:rPr>
        <w:t>．我方在此声明，所递交的响应文件及有关资料内容完整、真实和准确。</w:t>
      </w:r>
    </w:p>
    <w:p w14:paraId="2A3E9D8E">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5</w:t>
      </w:r>
      <w:r>
        <w:rPr>
          <w:rFonts w:ascii="Times New Roman" w:hAnsi="Times New Roman" w:eastAsia="宋体" w:cs="Times New Roman"/>
          <w:sz w:val="24"/>
          <w:szCs w:val="24"/>
        </w:rPr>
        <w:t>．在合同协议书正式签署生效之前，本报价函连同你方的成交通知书将构成我们双方之间共同遵守的文件，对双方具有约束力。</w:t>
      </w:r>
    </w:p>
    <w:p w14:paraId="03D74B35">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6</w:t>
      </w:r>
      <w:r>
        <w:rPr>
          <w:rFonts w:ascii="Times New Roman" w:hAnsi="Times New Roman" w:eastAsia="宋体" w:cs="Times New Roman"/>
          <w:sz w:val="24"/>
          <w:szCs w:val="24"/>
        </w:rPr>
        <w:t>．我方理解，你方不一定</w:t>
      </w:r>
      <w:r>
        <w:rPr>
          <w:rFonts w:hint="eastAsia" w:ascii="Times New Roman" w:hAnsi="Times New Roman" w:eastAsia="宋体" w:cs="Times New Roman"/>
          <w:sz w:val="24"/>
          <w:szCs w:val="24"/>
        </w:rPr>
        <w:t>接受</w:t>
      </w:r>
      <w:r>
        <w:rPr>
          <w:rFonts w:ascii="Times New Roman" w:hAnsi="Times New Roman" w:eastAsia="宋体" w:cs="Times New Roman"/>
          <w:sz w:val="24"/>
          <w:szCs w:val="24"/>
        </w:rPr>
        <w:t>任何报价。同时也理解，你方不负担我方的任何报价费用。</w:t>
      </w:r>
    </w:p>
    <w:p w14:paraId="2A8FC290">
      <w:pPr>
        <w:spacing w:line="400" w:lineRule="exact"/>
        <w:ind w:firstLine="3420" w:firstLineChars="1425"/>
        <w:rPr>
          <w:rFonts w:ascii="Times New Roman" w:hAnsi="Times New Roman" w:eastAsia="宋体" w:cs="Times New Roman"/>
          <w:sz w:val="24"/>
          <w:szCs w:val="24"/>
        </w:rPr>
      </w:pPr>
    </w:p>
    <w:p w14:paraId="276285D5">
      <w:pPr>
        <w:rPr>
          <w:rFonts w:ascii="Times New Roman" w:hAnsi="Times New Roman" w:eastAsia="宋体" w:cs="Times New Roman"/>
          <w:sz w:val="24"/>
          <w:szCs w:val="24"/>
        </w:rPr>
      </w:pPr>
    </w:p>
    <w:p w14:paraId="6EA1AD27">
      <w:pPr>
        <w:keepNext/>
        <w:keepLines/>
        <w:widowControl w:val="0"/>
        <w:numPr>
          <w:ilvl w:val="0"/>
          <w:numId w:val="0"/>
        </w:numPr>
        <w:spacing w:line="360" w:lineRule="auto"/>
        <w:ind w:left="417" w:leftChars="0"/>
        <w:jc w:val="both"/>
        <w:outlineLvl w:val="1"/>
        <w:rPr>
          <w:rFonts w:ascii="Arial" w:hAnsi="Arial" w:eastAsia="宋体" w:cs="Times New Roman"/>
          <w:b/>
          <w:bCs/>
          <w:kern w:val="2"/>
          <w:sz w:val="28"/>
          <w:szCs w:val="32"/>
          <w:lang w:val="en-US" w:eastAsia="zh-CN" w:bidi="ar-SA"/>
        </w:rPr>
      </w:pPr>
    </w:p>
    <w:p w14:paraId="4022A14A">
      <w:pPr>
        <w:rPr>
          <w:rFonts w:ascii="Calibri" w:hAnsi="Calibri" w:eastAsia="宋体" w:cs="Times New Roman"/>
          <w:szCs w:val="24"/>
        </w:rPr>
      </w:pPr>
    </w:p>
    <w:p w14:paraId="464712EE">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5652FCAA">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法定代表人</w:t>
      </w:r>
      <w:r>
        <w:rPr>
          <w:rFonts w:hint="eastAsia" w:ascii="Times New Roman" w:hAnsi="Times New Roman" w:eastAsia="宋体" w:cs="Times New Roman"/>
          <w:sz w:val="24"/>
          <w:szCs w:val="24"/>
        </w:rPr>
        <w:t>或委托代理人</w:t>
      </w:r>
      <w:r>
        <w:rPr>
          <w:rFonts w:ascii="Times New Roman" w:hAnsi="Times New Roman" w:eastAsia="宋体" w:cs="Times New Roman"/>
          <w:sz w:val="24"/>
          <w:szCs w:val="24"/>
        </w:rPr>
        <w:t>：(</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6536C856">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地址：</w:t>
      </w:r>
    </w:p>
    <w:p w14:paraId="4CB012D5">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网址：</w:t>
      </w:r>
    </w:p>
    <w:p w14:paraId="01B4AAFF">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电话：</w:t>
      </w:r>
    </w:p>
    <w:p w14:paraId="5718345D">
      <w:pPr>
        <w:spacing w:line="400" w:lineRule="exact"/>
        <w:ind w:firstLine="3420" w:firstLineChars="1425"/>
        <w:rPr>
          <w:rFonts w:ascii="Times New Roman" w:hAnsi="Times New Roman" w:eastAsia="宋体" w:cs="Times New Roman"/>
          <w:sz w:val="24"/>
          <w:szCs w:val="24"/>
        </w:rPr>
      </w:pPr>
      <w:r>
        <w:rPr>
          <w:rFonts w:hint="eastAsia" w:ascii="Times New Roman" w:hAnsi="Times New Roman" w:eastAsia="宋体" w:cs="Times New Roman"/>
          <w:sz w:val="24"/>
          <w:szCs w:val="24"/>
        </w:rPr>
        <w:t>电子邮箱</w:t>
      </w:r>
      <w:r>
        <w:rPr>
          <w:rFonts w:ascii="Times New Roman" w:hAnsi="Times New Roman" w:eastAsia="宋体" w:cs="Times New Roman"/>
          <w:sz w:val="24"/>
          <w:szCs w:val="24"/>
        </w:rPr>
        <w:t>：</w:t>
      </w:r>
    </w:p>
    <w:p w14:paraId="235CAB08">
      <w:pPr>
        <w:spacing w:line="400" w:lineRule="exact"/>
        <w:ind w:firstLine="6540" w:firstLineChars="2725"/>
        <w:rPr>
          <w:rFonts w:ascii="Times New Roman" w:hAnsi="Times New Roman" w:eastAsia="宋体" w:cs="Times New Roman"/>
          <w:sz w:val="24"/>
          <w:szCs w:val="24"/>
        </w:rPr>
      </w:pPr>
      <w:r>
        <w:rPr>
          <w:rFonts w:ascii="Times New Roman" w:hAnsi="Times New Roman" w:eastAsia="宋体" w:cs="Times New Roman"/>
          <w:sz w:val="24"/>
          <w:szCs w:val="24"/>
        </w:rPr>
        <w:t>年月日</w:t>
      </w:r>
    </w:p>
    <w:p w14:paraId="59380F1E">
      <w:pPr>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227DBAD8">
      <w:pPr>
        <w:spacing w:line="440" w:lineRule="exact"/>
        <w:ind w:firstLine="1400" w:firstLineChars="500"/>
        <w:jc w:val="both"/>
        <w:rPr>
          <w:rFonts w:ascii="Times New Roman" w:hAnsi="Times New Roman" w:eastAsia="黑体" w:cs="Times New Roman"/>
          <w:sz w:val="28"/>
          <w:szCs w:val="28"/>
        </w:rPr>
      </w:pPr>
      <w:bookmarkStart w:id="127" w:name="_Toc32350_WPSOffice_Level1"/>
      <w:bookmarkStart w:id="128" w:name="_Toc18668_WPSOffice_Level1"/>
      <w:bookmarkStart w:id="129" w:name="_Toc14563_WPSOffice_Level1"/>
      <w:bookmarkStart w:id="130" w:name="_Toc8695_WPSOffice_Level1"/>
      <w:bookmarkStart w:id="131" w:name="_Toc12530_WPSOffice_Level1"/>
      <w:r>
        <w:rPr>
          <w:rFonts w:ascii="Times New Roman" w:hAnsi="Times New Roman" w:eastAsia="黑体" w:cs="Times New Roman"/>
          <w:sz w:val="28"/>
          <w:szCs w:val="28"/>
        </w:rPr>
        <w:t>二、法定代表人身份证明及授权委托书</w:t>
      </w:r>
      <w:bookmarkEnd w:id="127"/>
      <w:bookmarkEnd w:id="128"/>
      <w:bookmarkEnd w:id="129"/>
      <w:bookmarkEnd w:id="130"/>
      <w:bookmarkEnd w:id="131"/>
    </w:p>
    <w:p w14:paraId="19804C5A">
      <w:pPr>
        <w:spacing w:line="440" w:lineRule="exact"/>
        <w:rPr>
          <w:rFonts w:ascii="Times New Roman" w:hAnsi="Times New Roman" w:eastAsia="宋体" w:cs="Times New Roman"/>
          <w:sz w:val="20"/>
          <w:szCs w:val="20"/>
        </w:rPr>
      </w:pPr>
    </w:p>
    <w:p w14:paraId="732B9923">
      <w:pPr>
        <w:spacing w:line="440" w:lineRule="exact"/>
        <w:jc w:val="center"/>
        <w:rPr>
          <w:rFonts w:ascii="Times New Roman" w:hAnsi="Times New Roman" w:eastAsia="宋体" w:cs="Times New Roman"/>
          <w:sz w:val="28"/>
          <w:szCs w:val="28"/>
        </w:rPr>
      </w:pPr>
      <w:bookmarkStart w:id="132" w:name="_Toc5153_WPSOffice_Level2"/>
      <w:bookmarkStart w:id="133" w:name="_Toc20803_WPSOffice_Level2"/>
      <w:r>
        <w:rPr>
          <w:rFonts w:ascii="Times New Roman" w:hAnsi="Times New Roman" w:eastAsia="黑体" w:cs="Times New Roman"/>
          <w:bCs/>
          <w:sz w:val="28"/>
          <w:szCs w:val="28"/>
        </w:rPr>
        <w:t>2-1 法定代表人身份证明</w:t>
      </w:r>
      <w:bookmarkEnd w:id="132"/>
      <w:bookmarkEnd w:id="133"/>
    </w:p>
    <w:p w14:paraId="4F8B6DC1">
      <w:pPr>
        <w:spacing w:line="440" w:lineRule="exact"/>
        <w:rPr>
          <w:rFonts w:ascii="Times New Roman" w:hAnsi="Times New Roman" w:eastAsia="宋体" w:cs="Times New Roman"/>
          <w:sz w:val="20"/>
          <w:szCs w:val="20"/>
        </w:rPr>
      </w:pPr>
    </w:p>
    <w:p w14:paraId="6C4633D7">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供应商名称：</w:t>
      </w:r>
    </w:p>
    <w:p w14:paraId="56DB40ED">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单位性质：</w:t>
      </w:r>
    </w:p>
    <w:p w14:paraId="30CB20E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地址：</w:t>
      </w:r>
    </w:p>
    <w:p w14:paraId="5BBDB940">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成立时间：年月日</w:t>
      </w:r>
    </w:p>
    <w:p w14:paraId="7CC8CEC1">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经营期限：</w:t>
      </w:r>
    </w:p>
    <w:p w14:paraId="3E7915A3">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姓名：性别：年龄：职务：</w:t>
      </w:r>
    </w:p>
    <w:p w14:paraId="09B1B769">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系 (供应商名称)的法定代表人。</w:t>
      </w:r>
    </w:p>
    <w:p w14:paraId="6DDB1B80">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附：法定代表人</w:t>
      </w:r>
      <w:r>
        <w:rPr>
          <w:rFonts w:hint="eastAsia" w:ascii="Times New Roman" w:hAnsi="Times New Roman" w:eastAsia="宋体" w:cs="Times New Roman"/>
          <w:sz w:val="24"/>
          <w:szCs w:val="24"/>
        </w:rPr>
        <w:t>身份证正反面复印件</w:t>
      </w:r>
    </w:p>
    <w:p w14:paraId="1DE30C63">
      <w:pPr>
        <w:spacing w:line="440" w:lineRule="exact"/>
        <w:ind w:firstLine="480" w:firstLineChars="200"/>
        <w:rPr>
          <w:rFonts w:ascii="Times New Roman" w:hAnsi="Times New Roman" w:eastAsia="宋体" w:cs="Times New Roman"/>
          <w:sz w:val="24"/>
          <w:szCs w:val="24"/>
        </w:rPr>
      </w:pPr>
    </w:p>
    <w:p w14:paraId="7892C0A5">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特此证明。</w:t>
      </w:r>
    </w:p>
    <w:p w14:paraId="762D94B5">
      <w:pPr>
        <w:spacing w:line="440" w:lineRule="exact"/>
        <w:rPr>
          <w:rFonts w:ascii="Times New Roman" w:hAnsi="Times New Roman" w:eastAsia="宋体" w:cs="Times New Roman"/>
          <w:sz w:val="24"/>
          <w:szCs w:val="24"/>
        </w:rPr>
      </w:pPr>
    </w:p>
    <w:p w14:paraId="2EB3820E">
      <w:pPr>
        <w:spacing w:line="440" w:lineRule="exact"/>
        <w:rPr>
          <w:rFonts w:ascii="Times New Roman" w:hAnsi="Times New Roman" w:eastAsia="宋体" w:cs="Times New Roman"/>
          <w:sz w:val="24"/>
          <w:szCs w:val="24"/>
        </w:rPr>
      </w:pPr>
    </w:p>
    <w:p w14:paraId="1127CAFF">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12049FEC">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年月日</w:t>
      </w:r>
    </w:p>
    <w:p w14:paraId="7720E621">
      <w:pPr>
        <w:topLinePunct/>
        <w:spacing w:line="440" w:lineRule="exact"/>
        <w:rPr>
          <w:rFonts w:ascii="Times New Roman" w:hAnsi="Times New Roman" w:eastAsia="黑体" w:cs="Times New Roman"/>
          <w:sz w:val="24"/>
          <w:szCs w:val="24"/>
        </w:rPr>
      </w:pPr>
    </w:p>
    <w:p w14:paraId="515A0AB3">
      <w:pPr>
        <w:pStyle w:val="2"/>
        <w:rPr>
          <w:rFonts w:ascii="Times New Roman" w:hAnsi="Times New Roman" w:eastAsia="黑体" w:cs="Times New Roman"/>
          <w:sz w:val="24"/>
          <w:szCs w:val="24"/>
        </w:rPr>
      </w:pPr>
    </w:p>
    <w:p w14:paraId="74C34BB5">
      <w:pPr>
        <w:rPr>
          <w:rFonts w:ascii="Times New Roman" w:hAnsi="Times New Roman" w:eastAsia="黑体" w:cs="Times New Roman"/>
          <w:sz w:val="24"/>
          <w:szCs w:val="24"/>
        </w:rPr>
      </w:pPr>
    </w:p>
    <w:p w14:paraId="23440648">
      <w:pPr>
        <w:pStyle w:val="2"/>
      </w:pPr>
    </w:p>
    <w:p w14:paraId="382634B0">
      <w:pPr>
        <w:rPr>
          <w:rFonts w:ascii="Times New Roman" w:hAnsi="Times New Roman" w:eastAsia="黑体" w:cs="Times New Roman"/>
          <w:sz w:val="24"/>
          <w:szCs w:val="24"/>
        </w:rPr>
      </w:pPr>
    </w:p>
    <w:p w14:paraId="0A20C6B9">
      <w:pPr>
        <w:pStyle w:val="2"/>
        <w:rPr>
          <w:rFonts w:ascii="Times New Roman" w:hAnsi="Times New Roman" w:eastAsia="黑体" w:cs="Times New Roman"/>
          <w:sz w:val="24"/>
          <w:szCs w:val="24"/>
        </w:rPr>
      </w:pPr>
    </w:p>
    <w:p w14:paraId="7FF8B08E">
      <w:pPr>
        <w:rPr>
          <w:rFonts w:ascii="Times New Roman" w:hAnsi="Times New Roman" w:eastAsia="黑体" w:cs="Times New Roman"/>
          <w:sz w:val="24"/>
          <w:szCs w:val="24"/>
        </w:rPr>
      </w:pPr>
    </w:p>
    <w:p w14:paraId="6A23CF19">
      <w:pPr>
        <w:spacing w:line="440" w:lineRule="exact"/>
        <w:jc w:val="center"/>
        <w:rPr>
          <w:rFonts w:ascii="Times New Roman" w:hAnsi="Times New Roman" w:eastAsia="黑体" w:cs="Times New Roman"/>
          <w:sz w:val="28"/>
          <w:szCs w:val="28"/>
        </w:rPr>
      </w:pPr>
      <w:bookmarkStart w:id="134" w:name="_Toc19768_WPSOffice_Level2"/>
      <w:bookmarkStart w:id="135"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4"/>
      <w:bookmarkEnd w:id="135"/>
    </w:p>
    <w:p w14:paraId="0BE08BB3">
      <w:pPr>
        <w:spacing w:line="440" w:lineRule="exact"/>
        <w:rPr>
          <w:rFonts w:ascii="Times New Roman" w:hAnsi="Times New Roman" w:eastAsia="黑体" w:cs="Times New Roman"/>
          <w:sz w:val="24"/>
          <w:szCs w:val="24"/>
        </w:rPr>
      </w:pPr>
    </w:p>
    <w:p w14:paraId="39570894">
      <w:pPr>
        <w:topLinePunct/>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19731C58">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委托期限：</w:t>
      </w:r>
      <w:r>
        <w:rPr>
          <w:rFonts w:ascii="Times New Roman" w:hAnsi="Times New Roman" w:eastAsia="宋体" w:cs="Times New Roman"/>
          <w:sz w:val="24"/>
          <w:szCs w:val="24"/>
          <w:u w:val="single"/>
        </w:rPr>
        <w:t>自授权委托之日起至签订合同之日止</w:t>
      </w:r>
      <w:r>
        <w:rPr>
          <w:rFonts w:ascii="Times New Roman" w:hAnsi="Times New Roman" w:eastAsia="宋体" w:cs="Times New Roman"/>
          <w:sz w:val="24"/>
          <w:szCs w:val="24"/>
        </w:rPr>
        <w:t>。</w:t>
      </w:r>
    </w:p>
    <w:p w14:paraId="7BA44D66">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代理人无转委托权。</w:t>
      </w:r>
    </w:p>
    <w:p w14:paraId="3A1D862F">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附：法定代表人身份证明</w:t>
      </w:r>
      <w:r>
        <w:rPr>
          <w:rFonts w:hint="eastAsia" w:ascii="Times New Roman" w:hAnsi="Times New Roman" w:eastAsia="宋体" w:cs="Times New Roman"/>
          <w:sz w:val="24"/>
          <w:szCs w:val="24"/>
        </w:rPr>
        <w:t>、委托代理人的身份证正反面复印件</w:t>
      </w:r>
    </w:p>
    <w:p w14:paraId="5F905BD7">
      <w:pPr>
        <w:spacing w:line="440" w:lineRule="exact"/>
        <w:ind w:firstLine="480" w:firstLineChars="200"/>
        <w:rPr>
          <w:rFonts w:ascii="Times New Roman" w:hAnsi="Times New Roman" w:eastAsia="宋体" w:cs="Times New Roman"/>
          <w:sz w:val="24"/>
          <w:szCs w:val="24"/>
        </w:rPr>
      </w:pPr>
    </w:p>
    <w:p w14:paraId="344FA72D">
      <w:pPr>
        <w:spacing w:line="440" w:lineRule="exact"/>
        <w:rPr>
          <w:rFonts w:ascii="Times New Roman" w:hAnsi="Times New Roman" w:eastAsia="宋体" w:cs="Times New Roman"/>
          <w:sz w:val="24"/>
          <w:szCs w:val="24"/>
        </w:rPr>
      </w:pPr>
    </w:p>
    <w:p w14:paraId="5C9A4C26">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6E8E5081">
      <w:pPr>
        <w:spacing w:line="440" w:lineRule="exact"/>
        <w:rPr>
          <w:rFonts w:ascii="Times New Roman" w:hAnsi="Times New Roman" w:eastAsia="宋体" w:cs="Times New Roman"/>
          <w:sz w:val="24"/>
          <w:szCs w:val="24"/>
        </w:rPr>
      </w:pPr>
    </w:p>
    <w:p w14:paraId="6E98B77B">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法定代表人：(</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23F67405">
      <w:pPr>
        <w:spacing w:line="440" w:lineRule="exact"/>
        <w:rPr>
          <w:rFonts w:ascii="Times New Roman" w:hAnsi="Times New Roman" w:eastAsia="宋体" w:cs="Times New Roman"/>
          <w:sz w:val="24"/>
          <w:szCs w:val="24"/>
        </w:rPr>
      </w:pPr>
    </w:p>
    <w:p w14:paraId="679156BD">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身份证号码：</w:t>
      </w:r>
    </w:p>
    <w:p w14:paraId="70E80649">
      <w:pPr>
        <w:spacing w:line="440" w:lineRule="exact"/>
        <w:rPr>
          <w:rFonts w:ascii="Times New Roman" w:hAnsi="Times New Roman" w:eastAsia="宋体" w:cs="Times New Roman"/>
          <w:sz w:val="24"/>
          <w:szCs w:val="24"/>
        </w:rPr>
      </w:pPr>
    </w:p>
    <w:p w14:paraId="0FA0891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委托代理人：(</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6ED03A76">
      <w:pPr>
        <w:spacing w:line="440" w:lineRule="exact"/>
        <w:rPr>
          <w:rFonts w:ascii="Times New Roman" w:hAnsi="Times New Roman" w:eastAsia="宋体" w:cs="Times New Roman"/>
          <w:sz w:val="24"/>
          <w:szCs w:val="24"/>
        </w:rPr>
      </w:pPr>
    </w:p>
    <w:p w14:paraId="452C583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身份证号码：</w:t>
      </w:r>
    </w:p>
    <w:p w14:paraId="4978BCE5">
      <w:pPr>
        <w:spacing w:line="440" w:lineRule="exact"/>
        <w:rPr>
          <w:rFonts w:ascii="Times New Roman" w:hAnsi="Times New Roman" w:eastAsia="宋体" w:cs="Times New Roman"/>
          <w:sz w:val="24"/>
          <w:szCs w:val="24"/>
        </w:rPr>
      </w:pPr>
    </w:p>
    <w:p w14:paraId="4D6A6C84">
      <w:pPr>
        <w:spacing w:line="440" w:lineRule="exact"/>
        <w:rPr>
          <w:rFonts w:ascii="Times New Roman" w:hAnsi="Times New Roman" w:eastAsia="宋体" w:cs="Times New Roman"/>
          <w:sz w:val="24"/>
          <w:szCs w:val="24"/>
        </w:rPr>
      </w:pPr>
    </w:p>
    <w:p w14:paraId="0B2A28A3">
      <w:pPr>
        <w:spacing w:line="440" w:lineRule="exact"/>
        <w:ind w:firstLine="1800" w:firstLineChars="750"/>
        <w:rPr>
          <w:rFonts w:ascii="Times New Roman" w:hAnsi="Times New Roman" w:eastAsia="黑体" w:cs="Times New Roman"/>
          <w:sz w:val="24"/>
          <w:szCs w:val="24"/>
        </w:rPr>
      </w:pPr>
      <w:r>
        <w:rPr>
          <w:rFonts w:ascii="Times New Roman" w:hAnsi="Times New Roman" w:eastAsia="宋体" w:cs="Times New Roman"/>
          <w:sz w:val="24"/>
          <w:szCs w:val="24"/>
        </w:rPr>
        <w:t>年月日</w:t>
      </w:r>
    </w:p>
    <w:p w14:paraId="379B2B89">
      <w:pPr>
        <w:spacing w:line="440" w:lineRule="exact"/>
        <w:rPr>
          <w:rFonts w:ascii="Times New Roman" w:hAnsi="Times New Roman" w:eastAsia="黑体" w:cs="Times New Roman"/>
          <w:sz w:val="24"/>
          <w:szCs w:val="24"/>
        </w:rPr>
      </w:pPr>
    </w:p>
    <w:p w14:paraId="4323A99D">
      <w:pPr>
        <w:spacing w:line="440" w:lineRule="exact"/>
        <w:jc w:val="both"/>
        <w:rPr>
          <w:rFonts w:hint="eastAsia" w:ascii="宋体" w:hAnsi="宋体" w:eastAsia="宋体" w:cs="宋体"/>
          <w:b/>
          <w:sz w:val="32"/>
          <w:szCs w:val="32"/>
        </w:rPr>
      </w:pPr>
    </w:p>
    <w:p w14:paraId="53E2FFC9">
      <w:pPr>
        <w:spacing w:line="440" w:lineRule="exact"/>
        <w:jc w:val="both"/>
        <w:rPr>
          <w:rFonts w:hint="eastAsia" w:ascii="宋体" w:hAnsi="宋体" w:eastAsia="宋体" w:cs="宋体"/>
          <w:b/>
          <w:sz w:val="32"/>
          <w:szCs w:val="32"/>
        </w:rPr>
      </w:pPr>
    </w:p>
    <w:p w14:paraId="158A60CF">
      <w:pPr>
        <w:spacing w:line="440" w:lineRule="exact"/>
        <w:jc w:val="both"/>
        <w:rPr>
          <w:rFonts w:hint="eastAsia" w:ascii="宋体" w:hAnsi="宋体" w:eastAsia="宋体" w:cs="宋体"/>
          <w:b/>
          <w:sz w:val="32"/>
          <w:szCs w:val="32"/>
        </w:rPr>
      </w:pPr>
    </w:p>
    <w:p w14:paraId="4769E8D4">
      <w:pPr>
        <w:spacing w:line="440" w:lineRule="exact"/>
        <w:jc w:val="center"/>
        <w:rPr>
          <w:rFonts w:hint="eastAsia" w:ascii="黑体" w:hAnsi="黑体" w:eastAsia="黑体" w:cs="黑体"/>
          <w:sz w:val="28"/>
          <w:szCs w:val="28"/>
        </w:rPr>
      </w:pPr>
      <w:r>
        <w:rPr>
          <w:rFonts w:hint="eastAsia" w:ascii="黑体" w:hAnsi="黑体" w:eastAsia="黑体" w:cs="黑体"/>
          <w:b/>
          <w:sz w:val="28"/>
          <w:szCs w:val="28"/>
        </w:rPr>
        <w:t>2-3承诺函</w:t>
      </w:r>
    </w:p>
    <w:p w14:paraId="6C3F10B9">
      <w:pPr>
        <w:pStyle w:val="15"/>
        <w:spacing w:line="360" w:lineRule="auto"/>
        <w:ind w:firstLine="482"/>
        <w:rPr>
          <w:rFonts w:hint="default" w:eastAsia="宋体" w:asciiTheme="minorEastAsia" w:hAnsiTheme="minorEastAsia" w:cstheme="minorEastAsia"/>
          <w:color w:val="auto"/>
          <w:sz w:val="24"/>
          <w:szCs w:val="24"/>
          <w:lang w:val="en-US" w:eastAsia="zh-CN"/>
        </w:rPr>
      </w:pPr>
      <w:r>
        <w:rPr>
          <w:rFonts w:hint="eastAsia" w:ascii="宋体" w:hAnsi="宋体"/>
          <w:color w:val="auto"/>
          <w:sz w:val="24"/>
        </w:rPr>
        <w:t>致：</w:t>
      </w:r>
      <w:r>
        <w:rPr>
          <w:rFonts w:hint="eastAsia" w:ascii="宋体" w:hAnsi="宋体"/>
          <w:color w:val="auto"/>
          <w:sz w:val="24"/>
          <w:u w:val="single"/>
          <w:lang w:val="en-US" w:eastAsia="zh-CN"/>
        </w:rPr>
        <w:t xml:space="preserve">          </w:t>
      </w:r>
    </w:p>
    <w:p w14:paraId="03A6A20A">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在参与本次项目投标中，我单位承诺：</w:t>
      </w:r>
    </w:p>
    <w:p w14:paraId="31FE8DF9">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（一）具有良好的商业信誉和健全的财务会计制度；</w:t>
      </w:r>
    </w:p>
    <w:p w14:paraId="30F5C9D4">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（二）具有履行合同所必需的设备和专业技术能力；</w:t>
      </w:r>
    </w:p>
    <w:p w14:paraId="62915BD2">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（三）有依法缴纳税收和社会保障资金的良好记录；</w:t>
      </w:r>
    </w:p>
    <w:p w14:paraId="4A34B146">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56CBB209">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（五）我单位不存在为采购项目提供整体设计、规范编制或者项目管理、监理、检测等服务后，再参加该采购项目的其他采购活动的情形（单一来源采购项目除外）；</w:t>
      </w:r>
    </w:p>
    <w:p w14:paraId="3D6374F4">
      <w:pPr>
        <w:widowControl/>
        <w:spacing w:line="360" w:lineRule="auto"/>
        <w:ind w:firstLine="480" w:firstLineChars="200"/>
        <w:jc w:val="left"/>
        <w:rPr>
          <w:rFonts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（六）与我单位存在单位负责人为同一人或者存在直接控股、管理关系的其他法人单位信息如下（如有，不论其是否参加同一合同项下的政府采购活动均须填写）：</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2A25A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D73FDDD">
            <w:pPr>
              <w:widowControl/>
              <w:spacing w:beforeLines="50" w:after="10"/>
              <w:jc w:val="center"/>
              <w:rPr>
                <w:rFonts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序号</w:t>
            </w:r>
          </w:p>
        </w:tc>
        <w:tc>
          <w:tcPr>
            <w:tcW w:w="2841" w:type="dxa"/>
          </w:tcPr>
          <w:p w14:paraId="1F209499">
            <w:pPr>
              <w:pStyle w:val="9"/>
              <w:rPr>
                <w:color w:val="auto"/>
                <w:kern w:val="0"/>
              </w:rPr>
            </w:pPr>
            <w:r>
              <w:rPr>
                <w:rFonts w:hint="eastAsia"/>
                <w:color w:val="auto"/>
                <w:kern w:val="0"/>
              </w:rPr>
              <w:t>单位名称</w:t>
            </w:r>
          </w:p>
        </w:tc>
        <w:tc>
          <w:tcPr>
            <w:tcW w:w="2841" w:type="dxa"/>
          </w:tcPr>
          <w:p w14:paraId="7739ECF3">
            <w:pPr>
              <w:pStyle w:val="9"/>
              <w:rPr>
                <w:color w:val="auto"/>
                <w:kern w:val="0"/>
              </w:rPr>
            </w:pPr>
            <w:r>
              <w:rPr>
                <w:rFonts w:hint="eastAsia"/>
                <w:color w:val="auto"/>
                <w:kern w:val="0"/>
              </w:rPr>
              <w:t>相互关系</w:t>
            </w:r>
          </w:p>
        </w:tc>
      </w:tr>
      <w:tr w14:paraId="3C1A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AB08E9E">
            <w:pPr>
              <w:pStyle w:val="9"/>
              <w:rPr>
                <w:color w:val="auto"/>
                <w:kern w:val="0"/>
              </w:rPr>
            </w:pPr>
            <w:r>
              <w:rPr>
                <w:rFonts w:hint="eastAsia"/>
                <w:color w:val="auto"/>
                <w:kern w:val="0"/>
              </w:rPr>
              <w:t>1</w:t>
            </w:r>
          </w:p>
        </w:tc>
        <w:tc>
          <w:tcPr>
            <w:tcW w:w="2841" w:type="dxa"/>
          </w:tcPr>
          <w:p w14:paraId="232F9B44">
            <w:pPr>
              <w:pStyle w:val="9"/>
              <w:rPr>
                <w:color w:val="auto"/>
                <w:kern w:val="0"/>
              </w:rPr>
            </w:pPr>
          </w:p>
        </w:tc>
        <w:tc>
          <w:tcPr>
            <w:tcW w:w="2841" w:type="dxa"/>
          </w:tcPr>
          <w:p w14:paraId="6A1924E8">
            <w:pPr>
              <w:pStyle w:val="9"/>
              <w:rPr>
                <w:color w:val="auto"/>
                <w:kern w:val="0"/>
              </w:rPr>
            </w:pPr>
          </w:p>
        </w:tc>
      </w:tr>
      <w:tr w14:paraId="38CD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92CD2D0">
            <w:pPr>
              <w:pStyle w:val="9"/>
              <w:rPr>
                <w:color w:val="auto"/>
                <w:kern w:val="0"/>
              </w:rPr>
            </w:pPr>
            <w:r>
              <w:rPr>
                <w:rFonts w:hint="eastAsia"/>
                <w:color w:val="auto"/>
                <w:kern w:val="0"/>
              </w:rPr>
              <w:t>2</w:t>
            </w:r>
          </w:p>
        </w:tc>
        <w:tc>
          <w:tcPr>
            <w:tcW w:w="2841" w:type="dxa"/>
          </w:tcPr>
          <w:p w14:paraId="3413F0F8">
            <w:pPr>
              <w:pStyle w:val="9"/>
              <w:rPr>
                <w:color w:val="auto"/>
                <w:kern w:val="0"/>
              </w:rPr>
            </w:pPr>
          </w:p>
        </w:tc>
        <w:tc>
          <w:tcPr>
            <w:tcW w:w="2841" w:type="dxa"/>
          </w:tcPr>
          <w:p w14:paraId="2DC61798">
            <w:pPr>
              <w:pStyle w:val="9"/>
              <w:rPr>
                <w:color w:val="auto"/>
                <w:kern w:val="0"/>
              </w:rPr>
            </w:pPr>
          </w:p>
        </w:tc>
      </w:tr>
    </w:tbl>
    <w:p w14:paraId="20328766">
      <w:pPr>
        <w:spacing w:line="360" w:lineRule="auto"/>
        <w:ind w:firstLine="480"/>
        <w:rPr>
          <w:rFonts w:ascii="宋体" w:hAnsi="宋体" w:eastAsia="宋体"/>
          <w:color w:val="auto"/>
          <w:sz w:val="24"/>
        </w:rPr>
      </w:pPr>
      <w:r>
        <w:rPr>
          <w:rFonts w:hint="eastAsia" w:ascii="宋体" w:hAnsi="宋体" w:eastAsia="宋体"/>
          <w:color w:val="auto"/>
          <w:sz w:val="24"/>
        </w:rPr>
        <w:t>本单位对</w:t>
      </w:r>
      <w:r>
        <w:rPr>
          <w:rFonts w:hint="eastAsia" w:asciiTheme="minorEastAsia" w:hAnsiTheme="minorEastAsia" w:eastAsiaTheme="minorEastAsia"/>
          <w:color w:val="auto"/>
          <w:sz w:val="24"/>
        </w:rPr>
        <w:t>上述</w:t>
      </w:r>
      <w:r>
        <w:rPr>
          <w:rFonts w:hint="eastAsia" w:ascii="宋体" w:hAnsi="宋体" w:eastAsia="宋体"/>
          <w:color w:val="auto"/>
          <w:sz w:val="24"/>
        </w:rPr>
        <w:t>声明的真实性负责。如有虚假，将依法承担相应责任。</w:t>
      </w:r>
    </w:p>
    <w:p w14:paraId="6F83B53F">
      <w:pPr>
        <w:spacing w:line="360" w:lineRule="auto"/>
        <w:ind w:firstLine="420" w:firstLineChars="200"/>
        <w:jc w:val="center"/>
        <w:rPr>
          <w:rFonts w:ascii="宋体" w:hAnsi="宋体" w:eastAsia="宋体" w:cs="宋体"/>
          <w:szCs w:val="21"/>
        </w:rPr>
      </w:pPr>
      <w:r>
        <w:rPr>
          <w:rFonts w:hint="eastAsia" w:ascii="宋体" w:hAnsi="宋体" w:eastAsia="宋体" w:cs="宋体"/>
          <w:szCs w:val="21"/>
          <w:lang w:val="en-US" w:eastAsia="zh-CN"/>
        </w:rPr>
        <w:t xml:space="preserve">                         </w:t>
      </w:r>
      <w:r>
        <w:rPr>
          <w:rFonts w:hint="eastAsia" w:ascii="宋体" w:hAnsi="宋体" w:eastAsia="宋体" w:cs="宋体"/>
          <w:szCs w:val="21"/>
        </w:rPr>
        <w:t>报价人：  (盖单位章)</w:t>
      </w:r>
    </w:p>
    <w:p w14:paraId="5E45282B">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527FE911">
      <w:pPr>
        <w:spacing w:line="360" w:lineRule="auto"/>
        <w:ind w:firstLine="420" w:firstLineChars="200"/>
        <w:rPr>
          <w:rFonts w:ascii="宋体" w:hAnsi="宋体" w:eastAsia="宋体" w:cs="宋体"/>
          <w:szCs w:val="21"/>
        </w:rPr>
      </w:pPr>
    </w:p>
    <w:p w14:paraId="1D2447C1">
      <w:pPr>
        <w:spacing w:line="360" w:lineRule="auto"/>
        <w:jc w:val="right"/>
        <w:rPr>
          <w:rFonts w:ascii="宋体" w:hAnsi="宋体" w:eastAsia="宋体" w:cs="宋体"/>
          <w:szCs w:val="21"/>
        </w:rPr>
      </w:pPr>
      <w:r>
        <w:rPr>
          <w:rFonts w:hint="eastAsia" w:ascii="宋体" w:hAnsi="宋体" w:eastAsia="宋体" w:cs="宋体"/>
          <w:szCs w:val="21"/>
        </w:rPr>
        <w:t>年月日</w:t>
      </w:r>
    </w:p>
    <w:p w14:paraId="7AA69C6C">
      <w:pPr>
        <w:spacing w:line="440" w:lineRule="exact"/>
        <w:jc w:val="center"/>
        <w:rPr>
          <w:rFonts w:ascii="宋体" w:hAnsi="宋体" w:eastAsia="宋体" w:cs="宋体"/>
          <w:b/>
          <w:bCs/>
          <w:sz w:val="32"/>
          <w:szCs w:val="32"/>
        </w:rPr>
      </w:pPr>
    </w:p>
    <w:p w14:paraId="08E87D01">
      <w:pPr>
        <w:pStyle w:val="9"/>
        <w:rPr>
          <w:color w:val="auto"/>
          <w:kern w:val="0"/>
        </w:rPr>
      </w:pPr>
    </w:p>
    <w:p w14:paraId="34E2790D">
      <w:pPr>
        <w:pStyle w:val="9"/>
        <w:rPr>
          <w:color w:val="auto"/>
          <w:kern w:val="0"/>
        </w:rPr>
      </w:pPr>
    </w:p>
    <w:p w14:paraId="4A6650B6">
      <w:pPr>
        <w:spacing w:line="440" w:lineRule="exact"/>
        <w:jc w:val="center"/>
        <w:rPr>
          <w:rFonts w:hint="eastAsia" w:eastAsia="宋体"/>
          <w:lang w:val="en-US" w:eastAsia="zh-CN"/>
        </w:rPr>
      </w:pPr>
      <w:bookmarkStart w:id="136" w:name="_Toc6796"/>
      <w:bookmarkStart w:id="137" w:name="_Toc31991"/>
      <w:r>
        <w:rPr>
          <w:rFonts w:hint="eastAsia" w:ascii="宋体" w:hAnsi="宋体" w:eastAsia="宋体" w:cs="宋体"/>
          <w:b/>
          <w:sz w:val="32"/>
          <w:szCs w:val="32"/>
        </w:rPr>
        <w:t>2-</w:t>
      </w:r>
      <w:r>
        <w:rPr>
          <w:rFonts w:hint="eastAsia" w:ascii="宋体" w:hAnsi="宋体" w:eastAsia="宋体" w:cs="宋体"/>
          <w:b/>
          <w:sz w:val="32"/>
          <w:szCs w:val="32"/>
          <w:lang w:val="en-US" w:eastAsia="zh-CN"/>
        </w:rPr>
        <w:t>4</w:t>
      </w:r>
      <w:r>
        <w:rPr>
          <w:rFonts w:hint="eastAsia" w:ascii="宋体" w:hAnsi="宋体" w:eastAsia="宋体" w:cs="宋体"/>
          <w:b/>
          <w:sz w:val="32"/>
          <w:szCs w:val="32"/>
        </w:rPr>
        <w:t>承诺</w:t>
      </w:r>
      <w:r>
        <w:rPr>
          <w:rFonts w:hint="eastAsia" w:ascii="宋体" w:hAnsi="宋体" w:eastAsia="宋体" w:cs="宋体"/>
          <w:b/>
          <w:sz w:val="32"/>
          <w:szCs w:val="32"/>
          <w:lang w:val="en-US" w:eastAsia="zh-CN"/>
        </w:rPr>
        <w:t>书</w:t>
      </w:r>
    </w:p>
    <w:p w14:paraId="59A2B66C">
      <w:pPr>
        <w:ind w:firstLine="480"/>
        <w:rPr>
          <w:color w:val="auto"/>
        </w:rPr>
      </w:pPr>
    </w:p>
    <w:p w14:paraId="323B69AA">
      <w:pPr>
        <w:rPr>
          <w:rFonts w:asciiTheme="minorEastAsia" w:hAnsiTheme="minorEastAsia" w:eastAsiaTheme="minorEastAsia" w:cstheme="minorEastAsia"/>
          <w:color w:val="auto"/>
          <w:sz w:val="28"/>
          <w:szCs w:val="28"/>
          <w:u w:val="single"/>
        </w:rPr>
      </w:pPr>
      <w:r>
        <w:rPr>
          <w:rFonts w:hint="eastAsia" w:asciiTheme="minorEastAsia" w:hAnsiTheme="minorEastAsia" w:eastAsiaTheme="minorEastAsia" w:cstheme="minorEastAsia"/>
          <w:color w:val="auto"/>
          <w:sz w:val="28"/>
          <w:szCs w:val="28"/>
          <w:u w:val="single"/>
        </w:rPr>
        <w:t>安徽交运集团</w:t>
      </w:r>
      <w:r>
        <w:rPr>
          <w:rFonts w:hint="eastAsia" w:asciiTheme="minorEastAsia" w:hAnsiTheme="minorEastAsia" w:eastAsiaTheme="minorEastAsia" w:cstheme="minorEastAsia"/>
          <w:color w:val="auto"/>
          <w:sz w:val="28"/>
          <w:szCs w:val="28"/>
          <w:u w:val="single"/>
          <w:lang w:val="en-US" w:eastAsia="zh-CN"/>
        </w:rPr>
        <w:t>汽车销售有限公司</w:t>
      </w:r>
      <w:r>
        <w:rPr>
          <w:rFonts w:hint="eastAsia" w:asciiTheme="minorEastAsia" w:hAnsiTheme="minorEastAsia" w:eastAsiaTheme="minorEastAsia" w:cstheme="minorEastAsia"/>
          <w:color w:val="auto"/>
          <w:sz w:val="28"/>
          <w:szCs w:val="28"/>
          <w:u w:val="single"/>
        </w:rPr>
        <w:t>：</w:t>
      </w:r>
    </w:p>
    <w:p w14:paraId="60F58703">
      <w:p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鉴于安徽</w:t>
      </w:r>
      <w:r>
        <w:rPr>
          <w:rFonts w:hint="eastAsia" w:asciiTheme="minorEastAsia" w:hAnsiTheme="minorEastAsia" w:eastAsiaTheme="minorEastAsia" w:cstheme="minorEastAsia"/>
          <w:color w:val="auto"/>
          <w:sz w:val="28"/>
          <w:szCs w:val="28"/>
          <w:lang w:val="en-US" w:eastAsia="zh-CN"/>
        </w:rPr>
        <w:t>交运集团汽车销售有限公司</w:t>
      </w:r>
      <w:r>
        <w:rPr>
          <w:rFonts w:hint="eastAsia" w:asciiTheme="minorEastAsia" w:hAnsiTheme="minorEastAsia" w:eastAsiaTheme="minorEastAsia" w:cstheme="minorEastAsia"/>
          <w:color w:val="auto"/>
          <w:sz w:val="28"/>
          <w:szCs w:val="28"/>
        </w:rPr>
        <w:t>宇通油电混动新能源公交车全套动力电池以及电池仓、高压仓四只灭火器换装工程招标过程中涉及到与车辆厂家有关技术对接问题，我方做出如下承诺。</w:t>
      </w:r>
    </w:p>
    <w:p w14:paraId="388528EE">
      <w:pPr>
        <w:numPr>
          <w:ilvl w:val="0"/>
          <w:numId w:val="13"/>
        </w:num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shd w:val="clear" w:color="auto" w:fill="FFFFFF"/>
        </w:rPr>
        <w:t>我方自行</w:t>
      </w:r>
      <w:r>
        <w:rPr>
          <w:rFonts w:hint="eastAsia" w:asciiTheme="minorEastAsia" w:hAnsiTheme="minorEastAsia" w:eastAsiaTheme="minorEastAsia" w:cstheme="minorEastAsia"/>
          <w:color w:val="auto"/>
          <w:sz w:val="28"/>
          <w:szCs w:val="28"/>
        </w:rPr>
        <w:t>与车辆厂家协商整车通讯协议、控制程序等。</w:t>
      </w:r>
    </w:p>
    <w:p w14:paraId="69D66FB6">
      <w:pPr>
        <w:numPr>
          <w:ilvl w:val="0"/>
          <w:numId w:val="13"/>
        </w:num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若我方中标，承诺在合同签订前完成与车辆厂家有关技术的对接。</w:t>
      </w:r>
    </w:p>
    <w:p w14:paraId="28525DDD">
      <w:pPr>
        <w:ind w:left="42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本公司若有违反以上承诺内容的行为，愿意接收采购人的处罚，包括取消中标资格，没收履约保证金等。</w:t>
      </w:r>
    </w:p>
    <w:p w14:paraId="497E4BC5">
      <w:pPr>
        <w:ind w:left="420" w:firstLine="560"/>
        <w:rPr>
          <w:rFonts w:asciiTheme="minorEastAsia" w:hAnsiTheme="minorEastAsia" w:eastAsiaTheme="minorEastAsia" w:cstheme="minorEastAsia"/>
          <w:color w:val="auto"/>
          <w:sz w:val="28"/>
          <w:szCs w:val="28"/>
        </w:rPr>
      </w:pPr>
    </w:p>
    <w:p w14:paraId="0FF8A683">
      <w:pPr>
        <w:ind w:left="420" w:firstLine="560"/>
        <w:rPr>
          <w:rFonts w:asciiTheme="minorEastAsia" w:hAnsiTheme="minorEastAsia" w:eastAsiaTheme="minorEastAsia" w:cstheme="minorEastAsia"/>
          <w:color w:val="auto"/>
          <w:sz w:val="28"/>
          <w:szCs w:val="28"/>
        </w:rPr>
      </w:pPr>
    </w:p>
    <w:p w14:paraId="5DE41A28">
      <w:pPr>
        <w:ind w:left="420" w:firstLine="560"/>
        <w:rPr>
          <w:rFonts w:asciiTheme="minorEastAsia" w:hAnsiTheme="minorEastAsia" w:eastAsiaTheme="minorEastAsia" w:cstheme="minorEastAsia"/>
          <w:color w:val="auto"/>
          <w:sz w:val="28"/>
          <w:szCs w:val="28"/>
        </w:rPr>
      </w:pPr>
    </w:p>
    <w:p w14:paraId="17614C2C">
      <w:pPr>
        <w:ind w:firstLine="560"/>
        <w:jc w:val="right"/>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rPr>
        <w:t xml:space="preserve">投标人 ：（盖章）       </w:t>
      </w:r>
    </w:p>
    <w:p w14:paraId="4E374222">
      <w:pPr>
        <w:ind w:firstLine="56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法定代表人：（签字 盖章）</w:t>
      </w:r>
    </w:p>
    <w:p w14:paraId="0C424003">
      <w:pPr>
        <w:ind w:firstLine="56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w:t>
      </w:r>
    </w:p>
    <w:p w14:paraId="7CBF1DCE">
      <w:p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 xml:space="preserve"> 年  月  日</w:t>
      </w:r>
    </w:p>
    <w:p w14:paraId="613BBA4E">
      <w:pPr>
        <w:ind w:firstLine="560"/>
        <w:rPr>
          <w:rFonts w:asciiTheme="minorEastAsia" w:hAnsiTheme="minorEastAsia" w:cstheme="minorEastAsia"/>
          <w:color w:val="auto"/>
          <w:sz w:val="28"/>
          <w:szCs w:val="28"/>
        </w:rPr>
      </w:pPr>
    </w:p>
    <w:p w14:paraId="7B2C2BB0">
      <w:pPr>
        <w:rPr>
          <w:rFonts w:asciiTheme="minorEastAsia" w:hAnsiTheme="minorEastAsia" w:cstheme="minorEastAsia"/>
          <w:color w:val="auto"/>
          <w:sz w:val="28"/>
          <w:szCs w:val="28"/>
        </w:rPr>
      </w:pPr>
    </w:p>
    <w:bookmarkEnd w:id="136"/>
    <w:bookmarkEnd w:id="137"/>
    <w:p w14:paraId="3A0A434C">
      <w:pPr>
        <w:spacing w:line="440" w:lineRule="exact"/>
        <w:jc w:val="center"/>
      </w:pPr>
      <w:r>
        <w:rPr>
          <w:rFonts w:hint="eastAsia" w:ascii="宋体" w:hAnsi="宋体" w:eastAsia="宋体" w:cs="宋体"/>
          <w:b/>
          <w:sz w:val="32"/>
          <w:szCs w:val="32"/>
          <w:lang w:val="en-US" w:eastAsia="zh-CN"/>
        </w:rPr>
        <w:t>三、</w:t>
      </w:r>
      <w:r>
        <w:rPr>
          <w:rFonts w:hint="eastAsia" w:ascii="宋体" w:hAnsi="宋体" w:eastAsia="宋体" w:cs="宋体"/>
          <w:b/>
          <w:sz w:val="32"/>
          <w:szCs w:val="32"/>
        </w:rPr>
        <w:t>已标价的报价清单</w:t>
      </w:r>
    </w:p>
    <w:p w14:paraId="5D2F1120"/>
    <w:tbl>
      <w:tblPr>
        <w:tblStyle w:val="25"/>
        <w:tblW w:w="53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046"/>
        <w:gridCol w:w="897"/>
        <w:gridCol w:w="897"/>
        <w:gridCol w:w="897"/>
        <w:gridCol w:w="897"/>
        <w:gridCol w:w="1350"/>
        <w:gridCol w:w="1350"/>
        <w:gridCol w:w="897"/>
      </w:tblGrid>
      <w:tr w14:paraId="744D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vAlign w:val="center"/>
          </w:tcPr>
          <w:p w14:paraId="3C8881EB">
            <w:pPr>
              <w:widowControl w:val="0"/>
              <w:spacing w:line="360" w:lineRule="auto"/>
              <w:jc w:val="both"/>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序号</w:t>
            </w:r>
          </w:p>
        </w:tc>
        <w:tc>
          <w:tcPr>
            <w:tcW w:w="575" w:type="pct"/>
            <w:vAlign w:val="center"/>
          </w:tcPr>
          <w:p w14:paraId="5946EC14">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货物名称</w:t>
            </w:r>
          </w:p>
        </w:tc>
        <w:tc>
          <w:tcPr>
            <w:tcW w:w="493" w:type="pct"/>
            <w:vAlign w:val="center"/>
          </w:tcPr>
          <w:p w14:paraId="7695320B">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品牌、型号</w:t>
            </w:r>
          </w:p>
        </w:tc>
        <w:tc>
          <w:tcPr>
            <w:tcW w:w="493" w:type="pct"/>
            <w:vAlign w:val="center"/>
          </w:tcPr>
          <w:p w14:paraId="53D3D143">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原产地及生产厂商</w:t>
            </w:r>
          </w:p>
        </w:tc>
        <w:tc>
          <w:tcPr>
            <w:tcW w:w="493" w:type="pct"/>
            <w:vAlign w:val="center"/>
          </w:tcPr>
          <w:p w14:paraId="4083D08E">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单位</w:t>
            </w:r>
          </w:p>
        </w:tc>
        <w:tc>
          <w:tcPr>
            <w:tcW w:w="493" w:type="pct"/>
            <w:vAlign w:val="center"/>
          </w:tcPr>
          <w:p w14:paraId="1F4C0A8F">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数量</w:t>
            </w:r>
          </w:p>
        </w:tc>
        <w:tc>
          <w:tcPr>
            <w:tcW w:w="742" w:type="pct"/>
            <w:vAlign w:val="center"/>
          </w:tcPr>
          <w:p w14:paraId="10720D2E">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单价（元）</w:t>
            </w:r>
          </w:p>
        </w:tc>
        <w:tc>
          <w:tcPr>
            <w:tcW w:w="742" w:type="pct"/>
            <w:vAlign w:val="center"/>
          </w:tcPr>
          <w:p w14:paraId="1242F05F">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小计（元）</w:t>
            </w:r>
          </w:p>
        </w:tc>
        <w:tc>
          <w:tcPr>
            <w:tcW w:w="493" w:type="pct"/>
            <w:vAlign w:val="center"/>
          </w:tcPr>
          <w:p w14:paraId="52935997">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备注</w:t>
            </w:r>
          </w:p>
        </w:tc>
      </w:tr>
      <w:tr w14:paraId="06AC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Borders>
              <w:bottom w:val="single" w:color="auto" w:sz="4" w:space="0"/>
            </w:tcBorders>
          </w:tcPr>
          <w:p w14:paraId="4CE26F3E">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1</w:t>
            </w:r>
          </w:p>
        </w:tc>
        <w:tc>
          <w:tcPr>
            <w:tcW w:w="575" w:type="pct"/>
          </w:tcPr>
          <w:p w14:paraId="5D819A8A">
            <w:pPr>
              <w:rPr>
                <w:rFonts w:asciiTheme="minorEastAsia" w:hAnsiTheme="minorEastAsia" w:eastAsiaTheme="minorEastAsia"/>
                <w:color w:val="auto"/>
                <w:sz w:val="24"/>
              </w:rPr>
            </w:pPr>
          </w:p>
        </w:tc>
        <w:tc>
          <w:tcPr>
            <w:tcW w:w="493" w:type="pct"/>
          </w:tcPr>
          <w:p w14:paraId="4BA68F6C">
            <w:pPr>
              <w:rPr>
                <w:rFonts w:asciiTheme="minorEastAsia" w:hAnsiTheme="minorEastAsia" w:eastAsiaTheme="minorEastAsia"/>
                <w:color w:val="auto"/>
                <w:sz w:val="24"/>
              </w:rPr>
            </w:pPr>
          </w:p>
        </w:tc>
        <w:tc>
          <w:tcPr>
            <w:tcW w:w="493" w:type="pct"/>
          </w:tcPr>
          <w:p w14:paraId="11BAA831">
            <w:pPr>
              <w:rPr>
                <w:rFonts w:asciiTheme="minorEastAsia" w:hAnsiTheme="minorEastAsia" w:eastAsiaTheme="minorEastAsia"/>
                <w:color w:val="auto"/>
                <w:sz w:val="24"/>
              </w:rPr>
            </w:pPr>
          </w:p>
        </w:tc>
        <w:tc>
          <w:tcPr>
            <w:tcW w:w="493" w:type="pct"/>
          </w:tcPr>
          <w:p w14:paraId="56C1D578">
            <w:pPr>
              <w:rPr>
                <w:rFonts w:asciiTheme="minorEastAsia" w:hAnsiTheme="minorEastAsia" w:eastAsiaTheme="minorEastAsia"/>
                <w:color w:val="auto"/>
                <w:sz w:val="24"/>
              </w:rPr>
            </w:pPr>
          </w:p>
        </w:tc>
        <w:tc>
          <w:tcPr>
            <w:tcW w:w="493" w:type="pct"/>
          </w:tcPr>
          <w:p w14:paraId="325A432B">
            <w:pPr>
              <w:rPr>
                <w:rFonts w:asciiTheme="minorEastAsia" w:hAnsiTheme="minorEastAsia" w:eastAsiaTheme="minorEastAsia"/>
                <w:color w:val="auto"/>
                <w:sz w:val="24"/>
              </w:rPr>
            </w:pPr>
          </w:p>
        </w:tc>
        <w:tc>
          <w:tcPr>
            <w:tcW w:w="742" w:type="pct"/>
          </w:tcPr>
          <w:p w14:paraId="67A785BC">
            <w:pPr>
              <w:rPr>
                <w:rFonts w:asciiTheme="minorEastAsia" w:hAnsiTheme="minorEastAsia" w:eastAsiaTheme="minorEastAsia"/>
                <w:color w:val="auto"/>
                <w:sz w:val="24"/>
              </w:rPr>
            </w:pPr>
          </w:p>
        </w:tc>
        <w:tc>
          <w:tcPr>
            <w:tcW w:w="742" w:type="pct"/>
          </w:tcPr>
          <w:p w14:paraId="0462227A">
            <w:pPr>
              <w:rPr>
                <w:rFonts w:asciiTheme="minorEastAsia" w:hAnsiTheme="minorEastAsia" w:eastAsiaTheme="minorEastAsia"/>
                <w:color w:val="auto"/>
                <w:sz w:val="24"/>
              </w:rPr>
            </w:pPr>
          </w:p>
        </w:tc>
        <w:tc>
          <w:tcPr>
            <w:tcW w:w="493" w:type="pct"/>
          </w:tcPr>
          <w:p w14:paraId="1E170A88">
            <w:pPr>
              <w:rPr>
                <w:rFonts w:asciiTheme="minorEastAsia" w:hAnsiTheme="minorEastAsia" w:eastAsiaTheme="minorEastAsia"/>
                <w:color w:val="auto"/>
                <w:sz w:val="24"/>
              </w:rPr>
            </w:pPr>
          </w:p>
        </w:tc>
      </w:tr>
      <w:tr w14:paraId="4B48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tcPr>
          <w:p w14:paraId="71AC9DE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2</w:t>
            </w:r>
          </w:p>
        </w:tc>
        <w:tc>
          <w:tcPr>
            <w:tcW w:w="575" w:type="pct"/>
          </w:tcPr>
          <w:p w14:paraId="07873DC4">
            <w:pPr>
              <w:rPr>
                <w:rFonts w:asciiTheme="minorEastAsia" w:hAnsiTheme="minorEastAsia" w:eastAsiaTheme="minorEastAsia"/>
                <w:color w:val="auto"/>
                <w:sz w:val="24"/>
              </w:rPr>
            </w:pPr>
          </w:p>
        </w:tc>
        <w:tc>
          <w:tcPr>
            <w:tcW w:w="493" w:type="pct"/>
          </w:tcPr>
          <w:p w14:paraId="1FC8B442">
            <w:pPr>
              <w:rPr>
                <w:rFonts w:asciiTheme="minorEastAsia" w:hAnsiTheme="minorEastAsia" w:eastAsiaTheme="minorEastAsia"/>
                <w:color w:val="auto"/>
                <w:sz w:val="24"/>
              </w:rPr>
            </w:pPr>
          </w:p>
        </w:tc>
        <w:tc>
          <w:tcPr>
            <w:tcW w:w="493" w:type="pct"/>
          </w:tcPr>
          <w:p w14:paraId="3BEC7E65">
            <w:pPr>
              <w:rPr>
                <w:rFonts w:asciiTheme="minorEastAsia" w:hAnsiTheme="minorEastAsia" w:eastAsiaTheme="minorEastAsia"/>
                <w:color w:val="auto"/>
                <w:sz w:val="24"/>
              </w:rPr>
            </w:pPr>
          </w:p>
        </w:tc>
        <w:tc>
          <w:tcPr>
            <w:tcW w:w="493" w:type="pct"/>
          </w:tcPr>
          <w:p w14:paraId="0E005C1B">
            <w:pPr>
              <w:rPr>
                <w:rFonts w:asciiTheme="minorEastAsia" w:hAnsiTheme="minorEastAsia" w:eastAsiaTheme="minorEastAsia"/>
                <w:color w:val="auto"/>
                <w:sz w:val="24"/>
              </w:rPr>
            </w:pPr>
          </w:p>
        </w:tc>
        <w:tc>
          <w:tcPr>
            <w:tcW w:w="493" w:type="pct"/>
          </w:tcPr>
          <w:p w14:paraId="7576F056">
            <w:pPr>
              <w:rPr>
                <w:rFonts w:asciiTheme="minorEastAsia" w:hAnsiTheme="minorEastAsia" w:eastAsiaTheme="minorEastAsia"/>
                <w:color w:val="auto"/>
                <w:sz w:val="24"/>
              </w:rPr>
            </w:pPr>
          </w:p>
        </w:tc>
        <w:tc>
          <w:tcPr>
            <w:tcW w:w="742" w:type="pct"/>
          </w:tcPr>
          <w:p w14:paraId="5493F1BD">
            <w:pPr>
              <w:rPr>
                <w:rFonts w:asciiTheme="minorEastAsia" w:hAnsiTheme="minorEastAsia" w:eastAsiaTheme="minorEastAsia"/>
                <w:color w:val="auto"/>
                <w:sz w:val="24"/>
              </w:rPr>
            </w:pPr>
          </w:p>
        </w:tc>
        <w:tc>
          <w:tcPr>
            <w:tcW w:w="742" w:type="pct"/>
          </w:tcPr>
          <w:p w14:paraId="08840F25">
            <w:pPr>
              <w:rPr>
                <w:rFonts w:asciiTheme="minorEastAsia" w:hAnsiTheme="minorEastAsia" w:eastAsiaTheme="minorEastAsia"/>
                <w:color w:val="auto"/>
                <w:sz w:val="24"/>
              </w:rPr>
            </w:pPr>
          </w:p>
        </w:tc>
        <w:tc>
          <w:tcPr>
            <w:tcW w:w="493" w:type="pct"/>
          </w:tcPr>
          <w:p w14:paraId="1062B210">
            <w:pPr>
              <w:rPr>
                <w:rFonts w:asciiTheme="minorEastAsia" w:hAnsiTheme="minorEastAsia" w:eastAsiaTheme="minorEastAsia"/>
                <w:color w:val="auto"/>
                <w:sz w:val="24"/>
              </w:rPr>
            </w:pPr>
          </w:p>
        </w:tc>
      </w:tr>
      <w:tr w14:paraId="4790C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28DF376C">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3</w:t>
            </w:r>
          </w:p>
        </w:tc>
        <w:tc>
          <w:tcPr>
            <w:tcW w:w="575" w:type="pct"/>
          </w:tcPr>
          <w:p w14:paraId="7B2403F3">
            <w:pPr>
              <w:rPr>
                <w:rFonts w:asciiTheme="minorEastAsia" w:hAnsiTheme="minorEastAsia" w:eastAsiaTheme="minorEastAsia"/>
                <w:color w:val="auto"/>
                <w:sz w:val="24"/>
              </w:rPr>
            </w:pPr>
          </w:p>
        </w:tc>
        <w:tc>
          <w:tcPr>
            <w:tcW w:w="493" w:type="pct"/>
          </w:tcPr>
          <w:p w14:paraId="4CEBD180">
            <w:pPr>
              <w:rPr>
                <w:rFonts w:asciiTheme="minorEastAsia" w:hAnsiTheme="minorEastAsia" w:eastAsiaTheme="minorEastAsia"/>
                <w:color w:val="auto"/>
                <w:sz w:val="24"/>
              </w:rPr>
            </w:pPr>
          </w:p>
        </w:tc>
        <w:tc>
          <w:tcPr>
            <w:tcW w:w="493" w:type="pct"/>
          </w:tcPr>
          <w:p w14:paraId="2A229A16">
            <w:pPr>
              <w:rPr>
                <w:rFonts w:asciiTheme="minorEastAsia" w:hAnsiTheme="minorEastAsia" w:eastAsiaTheme="minorEastAsia"/>
                <w:color w:val="auto"/>
                <w:sz w:val="24"/>
              </w:rPr>
            </w:pPr>
          </w:p>
        </w:tc>
        <w:tc>
          <w:tcPr>
            <w:tcW w:w="493" w:type="pct"/>
          </w:tcPr>
          <w:p w14:paraId="06D21B76">
            <w:pPr>
              <w:rPr>
                <w:rFonts w:asciiTheme="minorEastAsia" w:hAnsiTheme="minorEastAsia" w:eastAsiaTheme="minorEastAsia"/>
                <w:color w:val="auto"/>
                <w:sz w:val="24"/>
              </w:rPr>
            </w:pPr>
          </w:p>
        </w:tc>
        <w:tc>
          <w:tcPr>
            <w:tcW w:w="493" w:type="pct"/>
          </w:tcPr>
          <w:p w14:paraId="4EA532CD">
            <w:pPr>
              <w:rPr>
                <w:rFonts w:asciiTheme="minorEastAsia" w:hAnsiTheme="minorEastAsia" w:eastAsiaTheme="minorEastAsia"/>
                <w:color w:val="auto"/>
                <w:sz w:val="24"/>
              </w:rPr>
            </w:pPr>
          </w:p>
        </w:tc>
        <w:tc>
          <w:tcPr>
            <w:tcW w:w="742" w:type="pct"/>
          </w:tcPr>
          <w:p w14:paraId="2D84AE87">
            <w:pPr>
              <w:rPr>
                <w:rFonts w:asciiTheme="minorEastAsia" w:hAnsiTheme="minorEastAsia" w:eastAsiaTheme="minorEastAsia"/>
                <w:color w:val="auto"/>
                <w:sz w:val="24"/>
              </w:rPr>
            </w:pPr>
          </w:p>
        </w:tc>
        <w:tc>
          <w:tcPr>
            <w:tcW w:w="742" w:type="pct"/>
          </w:tcPr>
          <w:p w14:paraId="716FFA73">
            <w:pPr>
              <w:rPr>
                <w:rFonts w:asciiTheme="minorEastAsia" w:hAnsiTheme="minorEastAsia" w:eastAsiaTheme="minorEastAsia"/>
                <w:color w:val="auto"/>
                <w:sz w:val="24"/>
              </w:rPr>
            </w:pPr>
          </w:p>
        </w:tc>
        <w:tc>
          <w:tcPr>
            <w:tcW w:w="493" w:type="pct"/>
          </w:tcPr>
          <w:p w14:paraId="7843C4BF">
            <w:pPr>
              <w:rPr>
                <w:rFonts w:asciiTheme="minorEastAsia" w:hAnsiTheme="minorEastAsia" w:eastAsiaTheme="minorEastAsia"/>
                <w:color w:val="auto"/>
                <w:sz w:val="24"/>
              </w:rPr>
            </w:pPr>
          </w:p>
        </w:tc>
      </w:tr>
      <w:tr w14:paraId="34E30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tcPr>
          <w:p w14:paraId="3544F6FC">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4</w:t>
            </w:r>
          </w:p>
        </w:tc>
        <w:tc>
          <w:tcPr>
            <w:tcW w:w="575" w:type="pct"/>
          </w:tcPr>
          <w:p w14:paraId="636A1FD0">
            <w:pPr>
              <w:rPr>
                <w:rFonts w:asciiTheme="minorEastAsia" w:hAnsiTheme="minorEastAsia" w:eastAsiaTheme="minorEastAsia"/>
                <w:color w:val="auto"/>
                <w:sz w:val="24"/>
              </w:rPr>
            </w:pPr>
          </w:p>
        </w:tc>
        <w:tc>
          <w:tcPr>
            <w:tcW w:w="493" w:type="pct"/>
          </w:tcPr>
          <w:p w14:paraId="2D110E1F">
            <w:pPr>
              <w:rPr>
                <w:rFonts w:asciiTheme="minorEastAsia" w:hAnsiTheme="minorEastAsia" w:eastAsiaTheme="minorEastAsia"/>
                <w:color w:val="auto"/>
                <w:sz w:val="24"/>
              </w:rPr>
            </w:pPr>
          </w:p>
        </w:tc>
        <w:tc>
          <w:tcPr>
            <w:tcW w:w="493" w:type="pct"/>
          </w:tcPr>
          <w:p w14:paraId="45334BC2">
            <w:pPr>
              <w:rPr>
                <w:rFonts w:asciiTheme="minorEastAsia" w:hAnsiTheme="minorEastAsia" w:eastAsiaTheme="minorEastAsia"/>
                <w:color w:val="auto"/>
                <w:sz w:val="24"/>
              </w:rPr>
            </w:pPr>
          </w:p>
        </w:tc>
        <w:tc>
          <w:tcPr>
            <w:tcW w:w="493" w:type="pct"/>
          </w:tcPr>
          <w:p w14:paraId="15EB2607">
            <w:pPr>
              <w:rPr>
                <w:rFonts w:asciiTheme="minorEastAsia" w:hAnsiTheme="minorEastAsia" w:eastAsiaTheme="minorEastAsia"/>
                <w:color w:val="auto"/>
                <w:sz w:val="24"/>
              </w:rPr>
            </w:pPr>
          </w:p>
        </w:tc>
        <w:tc>
          <w:tcPr>
            <w:tcW w:w="493" w:type="pct"/>
          </w:tcPr>
          <w:p w14:paraId="0FC6C537">
            <w:pPr>
              <w:rPr>
                <w:rFonts w:asciiTheme="minorEastAsia" w:hAnsiTheme="minorEastAsia" w:eastAsiaTheme="minorEastAsia"/>
                <w:color w:val="auto"/>
                <w:sz w:val="24"/>
              </w:rPr>
            </w:pPr>
          </w:p>
        </w:tc>
        <w:tc>
          <w:tcPr>
            <w:tcW w:w="742" w:type="pct"/>
          </w:tcPr>
          <w:p w14:paraId="6BCBDE14">
            <w:pPr>
              <w:rPr>
                <w:rFonts w:asciiTheme="minorEastAsia" w:hAnsiTheme="minorEastAsia" w:eastAsiaTheme="minorEastAsia"/>
                <w:color w:val="auto"/>
                <w:sz w:val="24"/>
              </w:rPr>
            </w:pPr>
          </w:p>
        </w:tc>
        <w:tc>
          <w:tcPr>
            <w:tcW w:w="742" w:type="pct"/>
          </w:tcPr>
          <w:p w14:paraId="28580825">
            <w:pPr>
              <w:rPr>
                <w:rFonts w:asciiTheme="minorEastAsia" w:hAnsiTheme="minorEastAsia" w:eastAsiaTheme="minorEastAsia"/>
                <w:color w:val="auto"/>
                <w:sz w:val="24"/>
              </w:rPr>
            </w:pPr>
          </w:p>
        </w:tc>
        <w:tc>
          <w:tcPr>
            <w:tcW w:w="493" w:type="pct"/>
          </w:tcPr>
          <w:p w14:paraId="0BCF6027">
            <w:pPr>
              <w:rPr>
                <w:rFonts w:asciiTheme="minorEastAsia" w:hAnsiTheme="minorEastAsia" w:eastAsiaTheme="minorEastAsia"/>
                <w:color w:val="auto"/>
                <w:sz w:val="24"/>
              </w:rPr>
            </w:pPr>
          </w:p>
        </w:tc>
      </w:tr>
      <w:tr w14:paraId="776BB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6E8BFA69">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5</w:t>
            </w:r>
          </w:p>
        </w:tc>
        <w:tc>
          <w:tcPr>
            <w:tcW w:w="575" w:type="pct"/>
          </w:tcPr>
          <w:p w14:paraId="38DFBC30">
            <w:pPr>
              <w:rPr>
                <w:rFonts w:asciiTheme="minorEastAsia" w:hAnsiTheme="minorEastAsia" w:eastAsiaTheme="minorEastAsia"/>
                <w:color w:val="auto"/>
                <w:sz w:val="24"/>
              </w:rPr>
            </w:pPr>
          </w:p>
        </w:tc>
        <w:tc>
          <w:tcPr>
            <w:tcW w:w="493" w:type="pct"/>
          </w:tcPr>
          <w:p w14:paraId="1748FEA1">
            <w:pPr>
              <w:rPr>
                <w:rFonts w:asciiTheme="minorEastAsia" w:hAnsiTheme="minorEastAsia" w:eastAsiaTheme="minorEastAsia"/>
                <w:color w:val="auto"/>
                <w:sz w:val="24"/>
              </w:rPr>
            </w:pPr>
          </w:p>
        </w:tc>
        <w:tc>
          <w:tcPr>
            <w:tcW w:w="493" w:type="pct"/>
          </w:tcPr>
          <w:p w14:paraId="13414F96">
            <w:pPr>
              <w:rPr>
                <w:rFonts w:asciiTheme="minorEastAsia" w:hAnsiTheme="minorEastAsia" w:eastAsiaTheme="minorEastAsia"/>
                <w:color w:val="auto"/>
                <w:sz w:val="24"/>
              </w:rPr>
            </w:pPr>
          </w:p>
        </w:tc>
        <w:tc>
          <w:tcPr>
            <w:tcW w:w="493" w:type="pct"/>
          </w:tcPr>
          <w:p w14:paraId="2F8C98BB">
            <w:pPr>
              <w:rPr>
                <w:rFonts w:asciiTheme="minorEastAsia" w:hAnsiTheme="minorEastAsia" w:eastAsiaTheme="minorEastAsia"/>
                <w:color w:val="auto"/>
                <w:sz w:val="24"/>
              </w:rPr>
            </w:pPr>
          </w:p>
        </w:tc>
        <w:tc>
          <w:tcPr>
            <w:tcW w:w="493" w:type="pct"/>
          </w:tcPr>
          <w:p w14:paraId="319D25DC">
            <w:pPr>
              <w:rPr>
                <w:rFonts w:asciiTheme="minorEastAsia" w:hAnsiTheme="minorEastAsia" w:eastAsiaTheme="minorEastAsia"/>
                <w:color w:val="auto"/>
                <w:sz w:val="24"/>
              </w:rPr>
            </w:pPr>
          </w:p>
        </w:tc>
        <w:tc>
          <w:tcPr>
            <w:tcW w:w="742" w:type="pct"/>
          </w:tcPr>
          <w:p w14:paraId="3789F130">
            <w:pPr>
              <w:rPr>
                <w:rFonts w:asciiTheme="minorEastAsia" w:hAnsiTheme="minorEastAsia" w:eastAsiaTheme="minorEastAsia"/>
                <w:color w:val="auto"/>
                <w:sz w:val="24"/>
              </w:rPr>
            </w:pPr>
          </w:p>
        </w:tc>
        <w:tc>
          <w:tcPr>
            <w:tcW w:w="742" w:type="pct"/>
          </w:tcPr>
          <w:p w14:paraId="06ABB611">
            <w:pPr>
              <w:rPr>
                <w:rFonts w:asciiTheme="minorEastAsia" w:hAnsiTheme="minorEastAsia" w:eastAsiaTheme="minorEastAsia"/>
                <w:color w:val="auto"/>
                <w:sz w:val="24"/>
              </w:rPr>
            </w:pPr>
          </w:p>
        </w:tc>
        <w:tc>
          <w:tcPr>
            <w:tcW w:w="493" w:type="pct"/>
          </w:tcPr>
          <w:p w14:paraId="470AEADC">
            <w:pPr>
              <w:rPr>
                <w:rFonts w:asciiTheme="minorEastAsia" w:hAnsiTheme="minorEastAsia" w:eastAsiaTheme="minorEastAsia"/>
                <w:color w:val="auto"/>
                <w:sz w:val="24"/>
              </w:rPr>
            </w:pPr>
          </w:p>
        </w:tc>
      </w:tr>
      <w:tr w14:paraId="42FB2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tcPr>
          <w:p w14:paraId="526357B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6</w:t>
            </w:r>
          </w:p>
        </w:tc>
        <w:tc>
          <w:tcPr>
            <w:tcW w:w="575" w:type="pct"/>
          </w:tcPr>
          <w:p w14:paraId="3DFD9C5A">
            <w:pPr>
              <w:rPr>
                <w:rFonts w:asciiTheme="minorEastAsia" w:hAnsiTheme="minorEastAsia" w:eastAsiaTheme="minorEastAsia"/>
                <w:color w:val="auto"/>
                <w:sz w:val="24"/>
              </w:rPr>
            </w:pPr>
          </w:p>
        </w:tc>
        <w:tc>
          <w:tcPr>
            <w:tcW w:w="493" w:type="pct"/>
          </w:tcPr>
          <w:p w14:paraId="5A87E07F">
            <w:pPr>
              <w:rPr>
                <w:rFonts w:asciiTheme="minorEastAsia" w:hAnsiTheme="minorEastAsia" w:eastAsiaTheme="minorEastAsia"/>
                <w:color w:val="auto"/>
                <w:sz w:val="24"/>
              </w:rPr>
            </w:pPr>
          </w:p>
        </w:tc>
        <w:tc>
          <w:tcPr>
            <w:tcW w:w="493" w:type="pct"/>
          </w:tcPr>
          <w:p w14:paraId="35C83252">
            <w:pPr>
              <w:rPr>
                <w:rFonts w:asciiTheme="minorEastAsia" w:hAnsiTheme="minorEastAsia" w:eastAsiaTheme="minorEastAsia"/>
                <w:color w:val="auto"/>
                <w:sz w:val="24"/>
              </w:rPr>
            </w:pPr>
          </w:p>
        </w:tc>
        <w:tc>
          <w:tcPr>
            <w:tcW w:w="493" w:type="pct"/>
          </w:tcPr>
          <w:p w14:paraId="2F9FD050">
            <w:pPr>
              <w:rPr>
                <w:rFonts w:asciiTheme="minorEastAsia" w:hAnsiTheme="minorEastAsia" w:eastAsiaTheme="minorEastAsia"/>
                <w:color w:val="auto"/>
                <w:sz w:val="24"/>
              </w:rPr>
            </w:pPr>
          </w:p>
        </w:tc>
        <w:tc>
          <w:tcPr>
            <w:tcW w:w="493" w:type="pct"/>
          </w:tcPr>
          <w:p w14:paraId="701EDD83">
            <w:pPr>
              <w:rPr>
                <w:rFonts w:asciiTheme="minorEastAsia" w:hAnsiTheme="minorEastAsia" w:eastAsiaTheme="minorEastAsia"/>
                <w:color w:val="auto"/>
                <w:sz w:val="24"/>
              </w:rPr>
            </w:pPr>
          </w:p>
        </w:tc>
        <w:tc>
          <w:tcPr>
            <w:tcW w:w="742" w:type="pct"/>
          </w:tcPr>
          <w:p w14:paraId="424FEE1C">
            <w:pPr>
              <w:rPr>
                <w:rFonts w:asciiTheme="minorEastAsia" w:hAnsiTheme="minorEastAsia" w:eastAsiaTheme="minorEastAsia"/>
                <w:color w:val="auto"/>
                <w:sz w:val="24"/>
              </w:rPr>
            </w:pPr>
          </w:p>
        </w:tc>
        <w:tc>
          <w:tcPr>
            <w:tcW w:w="742" w:type="pct"/>
          </w:tcPr>
          <w:p w14:paraId="11333EAA">
            <w:pPr>
              <w:rPr>
                <w:rFonts w:asciiTheme="minorEastAsia" w:hAnsiTheme="minorEastAsia" w:eastAsiaTheme="minorEastAsia"/>
                <w:color w:val="auto"/>
                <w:sz w:val="24"/>
              </w:rPr>
            </w:pPr>
          </w:p>
        </w:tc>
        <w:tc>
          <w:tcPr>
            <w:tcW w:w="493" w:type="pct"/>
          </w:tcPr>
          <w:p w14:paraId="62AAD364">
            <w:pPr>
              <w:rPr>
                <w:rFonts w:asciiTheme="minorEastAsia" w:hAnsiTheme="minorEastAsia" w:eastAsiaTheme="minorEastAsia"/>
                <w:color w:val="auto"/>
                <w:sz w:val="24"/>
              </w:rPr>
            </w:pPr>
          </w:p>
        </w:tc>
      </w:tr>
      <w:tr w14:paraId="0D4A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5979F7F7">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7</w:t>
            </w:r>
          </w:p>
        </w:tc>
        <w:tc>
          <w:tcPr>
            <w:tcW w:w="575" w:type="pct"/>
          </w:tcPr>
          <w:p w14:paraId="7897A0DD">
            <w:pPr>
              <w:rPr>
                <w:rFonts w:asciiTheme="minorEastAsia" w:hAnsiTheme="minorEastAsia" w:eastAsiaTheme="minorEastAsia"/>
                <w:color w:val="auto"/>
                <w:sz w:val="24"/>
              </w:rPr>
            </w:pPr>
          </w:p>
        </w:tc>
        <w:tc>
          <w:tcPr>
            <w:tcW w:w="493" w:type="pct"/>
          </w:tcPr>
          <w:p w14:paraId="4E070B0E">
            <w:pPr>
              <w:rPr>
                <w:rFonts w:asciiTheme="minorEastAsia" w:hAnsiTheme="minorEastAsia" w:eastAsiaTheme="minorEastAsia"/>
                <w:color w:val="auto"/>
                <w:sz w:val="24"/>
              </w:rPr>
            </w:pPr>
          </w:p>
        </w:tc>
        <w:tc>
          <w:tcPr>
            <w:tcW w:w="493" w:type="pct"/>
          </w:tcPr>
          <w:p w14:paraId="058F7EEC">
            <w:pPr>
              <w:rPr>
                <w:rFonts w:asciiTheme="minorEastAsia" w:hAnsiTheme="minorEastAsia" w:eastAsiaTheme="minorEastAsia"/>
                <w:color w:val="auto"/>
                <w:sz w:val="24"/>
              </w:rPr>
            </w:pPr>
          </w:p>
        </w:tc>
        <w:tc>
          <w:tcPr>
            <w:tcW w:w="493" w:type="pct"/>
          </w:tcPr>
          <w:p w14:paraId="41D1CCB2">
            <w:pPr>
              <w:rPr>
                <w:rFonts w:asciiTheme="minorEastAsia" w:hAnsiTheme="minorEastAsia" w:eastAsiaTheme="minorEastAsia"/>
                <w:color w:val="auto"/>
                <w:sz w:val="24"/>
              </w:rPr>
            </w:pPr>
          </w:p>
        </w:tc>
        <w:tc>
          <w:tcPr>
            <w:tcW w:w="493" w:type="pct"/>
          </w:tcPr>
          <w:p w14:paraId="57CB0328">
            <w:pPr>
              <w:rPr>
                <w:rFonts w:asciiTheme="minorEastAsia" w:hAnsiTheme="minorEastAsia" w:eastAsiaTheme="minorEastAsia"/>
                <w:color w:val="auto"/>
                <w:sz w:val="24"/>
              </w:rPr>
            </w:pPr>
          </w:p>
        </w:tc>
        <w:tc>
          <w:tcPr>
            <w:tcW w:w="742" w:type="pct"/>
          </w:tcPr>
          <w:p w14:paraId="330A1C12">
            <w:pPr>
              <w:rPr>
                <w:rFonts w:asciiTheme="minorEastAsia" w:hAnsiTheme="minorEastAsia" w:eastAsiaTheme="minorEastAsia"/>
                <w:color w:val="auto"/>
                <w:sz w:val="24"/>
              </w:rPr>
            </w:pPr>
          </w:p>
        </w:tc>
        <w:tc>
          <w:tcPr>
            <w:tcW w:w="742" w:type="pct"/>
          </w:tcPr>
          <w:p w14:paraId="4B251DC0">
            <w:pPr>
              <w:rPr>
                <w:rFonts w:asciiTheme="minorEastAsia" w:hAnsiTheme="minorEastAsia" w:eastAsiaTheme="minorEastAsia"/>
                <w:color w:val="auto"/>
                <w:sz w:val="24"/>
              </w:rPr>
            </w:pPr>
          </w:p>
        </w:tc>
        <w:tc>
          <w:tcPr>
            <w:tcW w:w="493" w:type="pct"/>
          </w:tcPr>
          <w:p w14:paraId="73AE789E">
            <w:pPr>
              <w:rPr>
                <w:rFonts w:asciiTheme="minorEastAsia" w:hAnsiTheme="minorEastAsia" w:eastAsiaTheme="minorEastAsia"/>
                <w:color w:val="auto"/>
                <w:sz w:val="24"/>
              </w:rPr>
            </w:pPr>
          </w:p>
        </w:tc>
      </w:tr>
      <w:tr w14:paraId="18259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tcPr>
          <w:p w14:paraId="2C48F4A3">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8</w:t>
            </w:r>
          </w:p>
        </w:tc>
        <w:tc>
          <w:tcPr>
            <w:tcW w:w="575" w:type="pct"/>
          </w:tcPr>
          <w:p w14:paraId="7803D671">
            <w:pPr>
              <w:rPr>
                <w:rFonts w:asciiTheme="minorEastAsia" w:hAnsiTheme="minorEastAsia" w:eastAsiaTheme="minorEastAsia"/>
                <w:color w:val="auto"/>
                <w:sz w:val="24"/>
              </w:rPr>
            </w:pPr>
          </w:p>
        </w:tc>
        <w:tc>
          <w:tcPr>
            <w:tcW w:w="493" w:type="pct"/>
          </w:tcPr>
          <w:p w14:paraId="5B0BDD75">
            <w:pPr>
              <w:rPr>
                <w:rFonts w:asciiTheme="minorEastAsia" w:hAnsiTheme="minorEastAsia" w:eastAsiaTheme="minorEastAsia"/>
                <w:color w:val="auto"/>
                <w:sz w:val="24"/>
              </w:rPr>
            </w:pPr>
          </w:p>
        </w:tc>
        <w:tc>
          <w:tcPr>
            <w:tcW w:w="493" w:type="pct"/>
          </w:tcPr>
          <w:p w14:paraId="065849E5">
            <w:pPr>
              <w:rPr>
                <w:rFonts w:asciiTheme="minorEastAsia" w:hAnsiTheme="minorEastAsia" w:eastAsiaTheme="minorEastAsia"/>
                <w:color w:val="auto"/>
                <w:sz w:val="24"/>
              </w:rPr>
            </w:pPr>
          </w:p>
        </w:tc>
        <w:tc>
          <w:tcPr>
            <w:tcW w:w="493" w:type="pct"/>
          </w:tcPr>
          <w:p w14:paraId="6DCA7099">
            <w:pPr>
              <w:rPr>
                <w:rFonts w:asciiTheme="minorEastAsia" w:hAnsiTheme="minorEastAsia" w:eastAsiaTheme="minorEastAsia"/>
                <w:color w:val="auto"/>
                <w:sz w:val="24"/>
              </w:rPr>
            </w:pPr>
          </w:p>
        </w:tc>
        <w:tc>
          <w:tcPr>
            <w:tcW w:w="493" w:type="pct"/>
          </w:tcPr>
          <w:p w14:paraId="60D80579">
            <w:pPr>
              <w:rPr>
                <w:rFonts w:asciiTheme="minorEastAsia" w:hAnsiTheme="minorEastAsia" w:eastAsiaTheme="minorEastAsia"/>
                <w:color w:val="auto"/>
                <w:sz w:val="24"/>
              </w:rPr>
            </w:pPr>
          </w:p>
        </w:tc>
        <w:tc>
          <w:tcPr>
            <w:tcW w:w="742" w:type="pct"/>
          </w:tcPr>
          <w:p w14:paraId="5344DD42">
            <w:pPr>
              <w:rPr>
                <w:rFonts w:asciiTheme="minorEastAsia" w:hAnsiTheme="minorEastAsia" w:eastAsiaTheme="minorEastAsia"/>
                <w:color w:val="auto"/>
                <w:sz w:val="24"/>
              </w:rPr>
            </w:pPr>
          </w:p>
        </w:tc>
        <w:tc>
          <w:tcPr>
            <w:tcW w:w="742" w:type="pct"/>
          </w:tcPr>
          <w:p w14:paraId="21A686FF">
            <w:pPr>
              <w:rPr>
                <w:rFonts w:asciiTheme="minorEastAsia" w:hAnsiTheme="minorEastAsia" w:eastAsiaTheme="minorEastAsia"/>
                <w:color w:val="auto"/>
                <w:sz w:val="24"/>
              </w:rPr>
            </w:pPr>
          </w:p>
        </w:tc>
        <w:tc>
          <w:tcPr>
            <w:tcW w:w="493" w:type="pct"/>
          </w:tcPr>
          <w:p w14:paraId="4C5C90A3">
            <w:pPr>
              <w:rPr>
                <w:rFonts w:asciiTheme="minorEastAsia" w:hAnsiTheme="minorEastAsia" w:eastAsiaTheme="minorEastAsia"/>
                <w:color w:val="auto"/>
                <w:sz w:val="24"/>
              </w:rPr>
            </w:pPr>
          </w:p>
        </w:tc>
      </w:tr>
      <w:tr w14:paraId="2980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5287EEE8">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9</w:t>
            </w:r>
          </w:p>
        </w:tc>
        <w:tc>
          <w:tcPr>
            <w:tcW w:w="575" w:type="pct"/>
          </w:tcPr>
          <w:p w14:paraId="43B58789">
            <w:pPr>
              <w:rPr>
                <w:rFonts w:asciiTheme="minorEastAsia" w:hAnsiTheme="minorEastAsia" w:eastAsiaTheme="minorEastAsia"/>
                <w:color w:val="auto"/>
                <w:sz w:val="24"/>
              </w:rPr>
            </w:pPr>
          </w:p>
        </w:tc>
        <w:tc>
          <w:tcPr>
            <w:tcW w:w="493" w:type="pct"/>
          </w:tcPr>
          <w:p w14:paraId="5EF1F3A0">
            <w:pPr>
              <w:rPr>
                <w:rFonts w:asciiTheme="minorEastAsia" w:hAnsiTheme="minorEastAsia" w:eastAsiaTheme="minorEastAsia"/>
                <w:color w:val="auto"/>
                <w:sz w:val="24"/>
              </w:rPr>
            </w:pPr>
          </w:p>
        </w:tc>
        <w:tc>
          <w:tcPr>
            <w:tcW w:w="493" w:type="pct"/>
          </w:tcPr>
          <w:p w14:paraId="7F53402F">
            <w:pPr>
              <w:rPr>
                <w:rFonts w:asciiTheme="minorEastAsia" w:hAnsiTheme="minorEastAsia" w:eastAsiaTheme="minorEastAsia"/>
                <w:color w:val="auto"/>
                <w:sz w:val="24"/>
              </w:rPr>
            </w:pPr>
          </w:p>
        </w:tc>
        <w:tc>
          <w:tcPr>
            <w:tcW w:w="493" w:type="pct"/>
          </w:tcPr>
          <w:p w14:paraId="70E8B3AA">
            <w:pPr>
              <w:rPr>
                <w:rFonts w:asciiTheme="minorEastAsia" w:hAnsiTheme="minorEastAsia" w:eastAsiaTheme="minorEastAsia"/>
                <w:color w:val="auto"/>
                <w:sz w:val="24"/>
              </w:rPr>
            </w:pPr>
          </w:p>
        </w:tc>
        <w:tc>
          <w:tcPr>
            <w:tcW w:w="493" w:type="pct"/>
          </w:tcPr>
          <w:p w14:paraId="6695670C">
            <w:pPr>
              <w:rPr>
                <w:rFonts w:asciiTheme="minorEastAsia" w:hAnsiTheme="minorEastAsia" w:eastAsiaTheme="minorEastAsia"/>
                <w:color w:val="auto"/>
                <w:sz w:val="24"/>
              </w:rPr>
            </w:pPr>
          </w:p>
        </w:tc>
        <w:tc>
          <w:tcPr>
            <w:tcW w:w="742" w:type="pct"/>
          </w:tcPr>
          <w:p w14:paraId="12FAF26A">
            <w:pPr>
              <w:rPr>
                <w:rFonts w:asciiTheme="minorEastAsia" w:hAnsiTheme="minorEastAsia" w:eastAsiaTheme="minorEastAsia"/>
                <w:color w:val="auto"/>
                <w:sz w:val="24"/>
              </w:rPr>
            </w:pPr>
          </w:p>
        </w:tc>
        <w:tc>
          <w:tcPr>
            <w:tcW w:w="742" w:type="pct"/>
          </w:tcPr>
          <w:p w14:paraId="09BDB815">
            <w:pPr>
              <w:rPr>
                <w:rFonts w:asciiTheme="minorEastAsia" w:hAnsiTheme="minorEastAsia" w:eastAsiaTheme="minorEastAsia"/>
                <w:color w:val="auto"/>
                <w:sz w:val="24"/>
              </w:rPr>
            </w:pPr>
          </w:p>
        </w:tc>
        <w:tc>
          <w:tcPr>
            <w:tcW w:w="493" w:type="pct"/>
          </w:tcPr>
          <w:p w14:paraId="611C20E2">
            <w:pPr>
              <w:rPr>
                <w:rFonts w:asciiTheme="minorEastAsia" w:hAnsiTheme="minorEastAsia" w:eastAsiaTheme="minorEastAsia"/>
                <w:color w:val="auto"/>
                <w:sz w:val="24"/>
              </w:rPr>
            </w:pPr>
          </w:p>
        </w:tc>
      </w:tr>
      <w:tr w14:paraId="45E9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7BE8A25B">
            <w:pPr>
              <w:jc w:val="center"/>
              <w:rPr>
                <w:rFonts w:asciiTheme="minorEastAsia" w:hAnsiTheme="minorEastAsia" w:eastAsiaTheme="minorEastAsia"/>
                <w:color w:val="auto"/>
                <w:sz w:val="24"/>
              </w:rPr>
            </w:pPr>
          </w:p>
        </w:tc>
        <w:tc>
          <w:tcPr>
            <w:tcW w:w="575" w:type="pct"/>
            <w:vAlign w:val="center"/>
          </w:tcPr>
          <w:p w14:paraId="09AC8424">
            <w:pPr>
              <w:widowControl w:val="0"/>
              <w:jc w:val="both"/>
              <w:rPr>
                <w:rFonts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其他费用</w:t>
            </w:r>
          </w:p>
        </w:tc>
        <w:tc>
          <w:tcPr>
            <w:tcW w:w="493" w:type="pct"/>
          </w:tcPr>
          <w:p w14:paraId="20545C03">
            <w:pPr>
              <w:rPr>
                <w:rFonts w:asciiTheme="minorEastAsia" w:hAnsiTheme="minorEastAsia" w:eastAsiaTheme="minorEastAsia"/>
                <w:color w:val="auto"/>
                <w:sz w:val="24"/>
              </w:rPr>
            </w:pPr>
          </w:p>
        </w:tc>
        <w:tc>
          <w:tcPr>
            <w:tcW w:w="493" w:type="pct"/>
          </w:tcPr>
          <w:p w14:paraId="4BA1B419">
            <w:pPr>
              <w:rPr>
                <w:rFonts w:asciiTheme="minorEastAsia" w:hAnsiTheme="minorEastAsia" w:eastAsiaTheme="minorEastAsia"/>
                <w:color w:val="auto"/>
                <w:sz w:val="24"/>
              </w:rPr>
            </w:pPr>
          </w:p>
        </w:tc>
        <w:tc>
          <w:tcPr>
            <w:tcW w:w="493" w:type="pct"/>
          </w:tcPr>
          <w:p w14:paraId="68DB97EA">
            <w:pPr>
              <w:rPr>
                <w:rFonts w:asciiTheme="minorEastAsia" w:hAnsiTheme="minorEastAsia" w:eastAsiaTheme="minorEastAsia"/>
                <w:color w:val="auto"/>
                <w:sz w:val="24"/>
              </w:rPr>
            </w:pPr>
          </w:p>
        </w:tc>
        <w:tc>
          <w:tcPr>
            <w:tcW w:w="493" w:type="pct"/>
          </w:tcPr>
          <w:p w14:paraId="12DECAC9">
            <w:pPr>
              <w:rPr>
                <w:rFonts w:asciiTheme="minorEastAsia" w:hAnsiTheme="minorEastAsia" w:eastAsiaTheme="minorEastAsia"/>
                <w:color w:val="auto"/>
                <w:sz w:val="24"/>
              </w:rPr>
            </w:pPr>
          </w:p>
        </w:tc>
        <w:tc>
          <w:tcPr>
            <w:tcW w:w="742" w:type="pct"/>
          </w:tcPr>
          <w:p w14:paraId="675AA46F">
            <w:pPr>
              <w:rPr>
                <w:rFonts w:asciiTheme="minorEastAsia" w:hAnsiTheme="minorEastAsia" w:eastAsiaTheme="minorEastAsia"/>
                <w:color w:val="auto"/>
                <w:sz w:val="24"/>
              </w:rPr>
            </w:pPr>
          </w:p>
        </w:tc>
        <w:tc>
          <w:tcPr>
            <w:tcW w:w="742" w:type="pct"/>
          </w:tcPr>
          <w:p w14:paraId="29547788">
            <w:pPr>
              <w:rPr>
                <w:rFonts w:asciiTheme="minorEastAsia" w:hAnsiTheme="minorEastAsia" w:eastAsiaTheme="minorEastAsia"/>
                <w:color w:val="auto"/>
                <w:sz w:val="24"/>
              </w:rPr>
            </w:pPr>
          </w:p>
        </w:tc>
        <w:tc>
          <w:tcPr>
            <w:tcW w:w="493" w:type="pct"/>
          </w:tcPr>
          <w:p w14:paraId="6AF12015">
            <w:pPr>
              <w:rPr>
                <w:rFonts w:asciiTheme="minorEastAsia" w:hAnsiTheme="minorEastAsia" w:eastAsiaTheme="minorEastAsia"/>
                <w:color w:val="auto"/>
                <w:sz w:val="24"/>
              </w:rPr>
            </w:pPr>
          </w:p>
        </w:tc>
      </w:tr>
      <w:tr w14:paraId="53364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3D0ED6E7">
            <w:pPr>
              <w:jc w:val="center"/>
              <w:rPr>
                <w:rFonts w:asciiTheme="minorEastAsia" w:hAnsiTheme="minorEastAsia" w:eastAsiaTheme="minorEastAsia"/>
                <w:color w:val="auto"/>
                <w:sz w:val="24"/>
              </w:rPr>
            </w:pPr>
          </w:p>
        </w:tc>
        <w:tc>
          <w:tcPr>
            <w:tcW w:w="575" w:type="pct"/>
          </w:tcPr>
          <w:p w14:paraId="7E69CA1A">
            <w:pPr>
              <w:rPr>
                <w:rFonts w:asciiTheme="minorEastAsia" w:hAnsiTheme="minorEastAsia" w:eastAsiaTheme="minorEastAsia"/>
                <w:color w:val="auto"/>
                <w:sz w:val="24"/>
              </w:rPr>
            </w:pPr>
            <w:r>
              <w:rPr>
                <w:rFonts w:hint="eastAsia" w:asciiTheme="minorEastAsia" w:hAnsiTheme="minorEastAsia" w:eastAsiaTheme="minorEastAsia"/>
                <w:color w:val="auto"/>
                <w:sz w:val="24"/>
              </w:rPr>
              <w:t>…</w:t>
            </w:r>
          </w:p>
        </w:tc>
        <w:tc>
          <w:tcPr>
            <w:tcW w:w="493" w:type="pct"/>
          </w:tcPr>
          <w:p w14:paraId="7A994D2A">
            <w:pPr>
              <w:rPr>
                <w:rFonts w:asciiTheme="minorEastAsia" w:hAnsiTheme="minorEastAsia" w:eastAsiaTheme="minorEastAsia"/>
                <w:color w:val="auto"/>
                <w:sz w:val="24"/>
              </w:rPr>
            </w:pPr>
          </w:p>
        </w:tc>
        <w:tc>
          <w:tcPr>
            <w:tcW w:w="493" w:type="pct"/>
          </w:tcPr>
          <w:p w14:paraId="1A5CECEC">
            <w:pPr>
              <w:rPr>
                <w:rFonts w:asciiTheme="minorEastAsia" w:hAnsiTheme="minorEastAsia" w:eastAsiaTheme="minorEastAsia"/>
                <w:color w:val="auto"/>
                <w:sz w:val="24"/>
              </w:rPr>
            </w:pPr>
          </w:p>
        </w:tc>
        <w:tc>
          <w:tcPr>
            <w:tcW w:w="493" w:type="pct"/>
          </w:tcPr>
          <w:p w14:paraId="43C68403">
            <w:pPr>
              <w:rPr>
                <w:rFonts w:asciiTheme="minorEastAsia" w:hAnsiTheme="minorEastAsia" w:eastAsiaTheme="minorEastAsia"/>
                <w:color w:val="auto"/>
                <w:sz w:val="24"/>
              </w:rPr>
            </w:pPr>
          </w:p>
        </w:tc>
        <w:tc>
          <w:tcPr>
            <w:tcW w:w="493" w:type="pct"/>
          </w:tcPr>
          <w:p w14:paraId="374D6E77">
            <w:pPr>
              <w:rPr>
                <w:rFonts w:asciiTheme="minorEastAsia" w:hAnsiTheme="minorEastAsia" w:eastAsiaTheme="minorEastAsia"/>
                <w:color w:val="auto"/>
                <w:sz w:val="24"/>
              </w:rPr>
            </w:pPr>
          </w:p>
        </w:tc>
        <w:tc>
          <w:tcPr>
            <w:tcW w:w="742" w:type="pct"/>
          </w:tcPr>
          <w:p w14:paraId="40712A01">
            <w:pPr>
              <w:rPr>
                <w:rFonts w:asciiTheme="minorEastAsia" w:hAnsiTheme="minorEastAsia" w:eastAsiaTheme="minorEastAsia"/>
                <w:color w:val="auto"/>
                <w:sz w:val="24"/>
              </w:rPr>
            </w:pPr>
          </w:p>
        </w:tc>
        <w:tc>
          <w:tcPr>
            <w:tcW w:w="742" w:type="pct"/>
          </w:tcPr>
          <w:p w14:paraId="02774B2C">
            <w:pPr>
              <w:rPr>
                <w:rFonts w:asciiTheme="minorEastAsia" w:hAnsiTheme="minorEastAsia" w:eastAsiaTheme="minorEastAsia"/>
                <w:color w:val="auto"/>
                <w:sz w:val="24"/>
              </w:rPr>
            </w:pPr>
          </w:p>
        </w:tc>
        <w:tc>
          <w:tcPr>
            <w:tcW w:w="493" w:type="pct"/>
          </w:tcPr>
          <w:p w14:paraId="15EF2073">
            <w:pPr>
              <w:rPr>
                <w:rFonts w:asciiTheme="minorEastAsia" w:hAnsiTheme="minorEastAsia" w:eastAsiaTheme="minorEastAsia"/>
                <w:color w:val="auto"/>
                <w:sz w:val="24"/>
              </w:rPr>
            </w:pPr>
          </w:p>
        </w:tc>
      </w:tr>
      <w:tr w14:paraId="3C53B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72A338DD">
            <w:pPr>
              <w:jc w:val="center"/>
              <w:rPr>
                <w:rFonts w:asciiTheme="minorEastAsia" w:hAnsiTheme="minorEastAsia" w:eastAsiaTheme="minorEastAsia"/>
                <w:color w:val="auto"/>
                <w:sz w:val="24"/>
              </w:rPr>
            </w:pPr>
          </w:p>
        </w:tc>
        <w:tc>
          <w:tcPr>
            <w:tcW w:w="575" w:type="pct"/>
          </w:tcPr>
          <w:p w14:paraId="1176D899">
            <w:pPr>
              <w:widowControl w:val="0"/>
              <w:jc w:val="both"/>
              <w:rPr>
                <w:rFonts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w:t>
            </w:r>
          </w:p>
        </w:tc>
        <w:tc>
          <w:tcPr>
            <w:tcW w:w="493" w:type="pct"/>
          </w:tcPr>
          <w:p w14:paraId="729F0E45">
            <w:pPr>
              <w:rPr>
                <w:rFonts w:asciiTheme="minorEastAsia" w:hAnsiTheme="minorEastAsia" w:eastAsiaTheme="minorEastAsia"/>
                <w:color w:val="auto"/>
                <w:sz w:val="24"/>
              </w:rPr>
            </w:pPr>
          </w:p>
        </w:tc>
        <w:tc>
          <w:tcPr>
            <w:tcW w:w="493" w:type="pct"/>
          </w:tcPr>
          <w:p w14:paraId="3AF03D65">
            <w:pPr>
              <w:rPr>
                <w:rFonts w:asciiTheme="minorEastAsia" w:hAnsiTheme="minorEastAsia" w:eastAsiaTheme="minorEastAsia"/>
                <w:color w:val="auto"/>
                <w:sz w:val="24"/>
              </w:rPr>
            </w:pPr>
          </w:p>
        </w:tc>
        <w:tc>
          <w:tcPr>
            <w:tcW w:w="493" w:type="pct"/>
          </w:tcPr>
          <w:p w14:paraId="21AC56BF">
            <w:pPr>
              <w:rPr>
                <w:rFonts w:asciiTheme="minorEastAsia" w:hAnsiTheme="minorEastAsia" w:eastAsiaTheme="minorEastAsia"/>
                <w:color w:val="auto"/>
                <w:sz w:val="24"/>
              </w:rPr>
            </w:pPr>
          </w:p>
        </w:tc>
        <w:tc>
          <w:tcPr>
            <w:tcW w:w="493" w:type="pct"/>
          </w:tcPr>
          <w:p w14:paraId="5AF099D3">
            <w:pPr>
              <w:rPr>
                <w:rFonts w:asciiTheme="minorEastAsia" w:hAnsiTheme="minorEastAsia" w:eastAsiaTheme="minorEastAsia"/>
                <w:color w:val="auto"/>
                <w:sz w:val="24"/>
              </w:rPr>
            </w:pPr>
          </w:p>
        </w:tc>
        <w:tc>
          <w:tcPr>
            <w:tcW w:w="742" w:type="pct"/>
          </w:tcPr>
          <w:p w14:paraId="4657D24D">
            <w:pPr>
              <w:rPr>
                <w:rFonts w:asciiTheme="minorEastAsia" w:hAnsiTheme="minorEastAsia" w:eastAsiaTheme="minorEastAsia"/>
                <w:color w:val="auto"/>
                <w:sz w:val="24"/>
              </w:rPr>
            </w:pPr>
          </w:p>
        </w:tc>
        <w:tc>
          <w:tcPr>
            <w:tcW w:w="742" w:type="pct"/>
          </w:tcPr>
          <w:p w14:paraId="74866315">
            <w:pPr>
              <w:rPr>
                <w:rFonts w:asciiTheme="minorEastAsia" w:hAnsiTheme="minorEastAsia" w:eastAsiaTheme="minorEastAsia"/>
                <w:color w:val="auto"/>
                <w:sz w:val="24"/>
              </w:rPr>
            </w:pPr>
          </w:p>
        </w:tc>
        <w:tc>
          <w:tcPr>
            <w:tcW w:w="493" w:type="pct"/>
          </w:tcPr>
          <w:p w14:paraId="7548E8A9">
            <w:pPr>
              <w:rPr>
                <w:rFonts w:asciiTheme="minorEastAsia" w:hAnsiTheme="minorEastAsia" w:eastAsiaTheme="minorEastAsia"/>
                <w:color w:val="auto"/>
                <w:sz w:val="24"/>
              </w:rPr>
            </w:pPr>
          </w:p>
        </w:tc>
      </w:tr>
      <w:tr w14:paraId="2CDC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Pr>
          <w:p w14:paraId="42FD8C9E">
            <w:pPr>
              <w:jc w:val="center"/>
              <w:rPr>
                <w:rFonts w:asciiTheme="minorEastAsia" w:hAnsiTheme="minorEastAsia" w:eastAsiaTheme="minorEastAsia"/>
                <w:color w:val="auto"/>
                <w:sz w:val="24"/>
              </w:rPr>
            </w:pPr>
          </w:p>
        </w:tc>
        <w:tc>
          <w:tcPr>
            <w:tcW w:w="575" w:type="pct"/>
          </w:tcPr>
          <w:p w14:paraId="506FCCF4">
            <w:pPr>
              <w:rPr>
                <w:rFonts w:asciiTheme="minorEastAsia" w:hAnsiTheme="minorEastAsia" w:eastAsiaTheme="minorEastAsia"/>
                <w:color w:val="auto"/>
                <w:sz w:val="24"/>
              </w:rPr>
            </w:pPr>
            <w:r>
              <w:rPr>
                <w:rFonts w:hint="eastAsia" w:asciiTheme="minorEastAsia" w:hAnsiTheme="minorEastAsia" w:eastAsiaTheme="minorEastAsia"/>
                <w:color w:val="auto"/>
                <w:sz w:val="24"/>
              </w:rPr>
              <w:t>…</w:t>
            </w:r>
          </w:p>
        </w:tc>
        <w:tc>
          <w:tcPr>
            <w:tcW w:w="493" w:type="pct"/>
          </w:tcPr>
          <w:p w14:paraId="7A71CF0A">
            <w:pPr>
              <w:rPr>
                <w:rFonts w:asciiTheme="minorEastAsia" w:hAnsiTheme="minorEastAsia" w:eastAsiaTheme="minorEastAsia"/>
                <w:color w:val="auto"/>
                <w:sz w:val="24"/>
              </w:rPr>
            </w:pPr>
          </w:p>
        </w:tc>
        <w:tc>
          <w:tcPr>
            <w:tcW w:w="493" w:type="pct"/>
          </w:tcPr>
          <w:p w14:paraId="193A315E">
            <w:pPr>
              <w:rPr>
                <w:rFonts w:asciiTheme="minorEastAsia" w:hAnsiTheme="minorEastAsia" w:eastAsiaTheme="minorEastAsia"/>
                <w:color w:val="auto"/>
                <w:sz w:val="24"/>
              </w:rPr>
            </w:pPr>
          </w:p>
        </w:tc>
        <w:tc>
          <w:tcPr>
            <w:tcW w:w="493" w:type="pct"/>
          </w:tcPr>
          <w:p w14:paraId="4C47009A">
            <w:pPr>
              <w:rPr>
                <w:rFonts w:asciiTheme="minorEastAsia" w:hAnsiTheme="minorEastAsia" w:eastAsiaTheme="minorEastAsia"/>
                <w:color w:val="auto"/>
                <w:sz w:val="24"/>
              </w:rPr>
            </w:pPr>
          </w:p>
        </w:tc>
        <w:tc>
          <w:tcPr>
            <w:tcW w:w="493" w:type="pct"/>
          </w:tcPr>
          <w:p w14:paraId="50D91F50">
            <w:pPr>
              <w:rPr>
                <w:rFonts w:asciiTheme="minorEastAsia" w:hAnsiTheme="minorEastAsia" w:eastAsiaTheme="minorEastAsia"/>
                <w:color w:val="auto"/>
                <w:sz w:val="24"/>
              </w:rPr>
            </w:pPr>
          </w:p>
        </w:tc>
        <w:tc>
          <w:tcPr>
            <w:tcW w:w="742" w:type="pct"/>
          </w:tcPr>
          <w:p w14:paraId="1A6A6378">
            <w:pPr>
              <w:rPr>
                <w:rFonts w:asciiTheme="minorEastAsia" w:hAnsiTheme="minorEastAsia" w:eastAsiaTheme="minorEastAsia"/>
                <w:color w:val="auto"/>
                <w:sz w:val="24"/>
              </w:rPr>
            </w:pPr>
          </w:p>
        </w:tc>
        <w:tc>
          <w:tcPr>
            <w:tcW w:w="742" w:type="pct"/>
          </w:tcPr>
          <w:p w14:paraId="148C11CA">
            <w:pPr>
              <w:rPr>
                <w:rFonts w:asciiTheme="minorEastAsia" w:hAnsiTheme="minorEastAsia" w:eastAsiaTheme="minorEastAsia"/>
                <w:color w:val="auto"/>
                <w:sz w:val="24"/>
              </w:rPr>
            </w:pPr>
          </w:p>
        </w:tc>
        <w:tc>
          <w:tcPr>
            <w:tcW w:w="493" w:type="pct"/>
          </w:tcPr>
          <w:p w14:paraId="2F338479">
            <w:pPr>
              <w:rPr>
                <w:rFonts w:asciiTheme="minorEastAsia" w:hAnsiTheme="minorEastAsia" w:eastAsiaTheme="minorEastAsia"/>
                <w:color w:val="auto"/>
                <w:sz w:val="24"/>
              </w:rPr>
            </w:pPr>
          </w:p>
        </w:tc>
      </w:tr>
      <w:tr w14:paraId="2AFD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046" w:type="pct"/>
            <w:gridSpan w:val="2"/>
            <w:vAlign w:val="center"/>
          </w:tcPr>
          <w:p w14:paraId="2E6D41BA">
            <w:pPr>
              <w:widowControl w:val="0"/>
              <w:jc w:val="center"/>
              <w:rPr>
                <w:rFonts w:cs="Arial" w:asciiTheme="minorEastAsia" w:hAnsiTheme="minorEastAsia" w:eastAsiaTheme="minorEastAsia"/>
                <w:color w:val="auto"/>
                <w:kern w:val="2"/>
                <w:sz w:val="24"/>
                <w:lang w:val="en-US" w:eastAsia="zh-CN" w:bidi="ar-SA"/>
              </w:rPr>
            </w:pPr>
          </w:p>
        </w:tc>
        <w:tc>
          <w:tcPr>
            <w:tcW w:w="493" w:type="pct"/>
          </w:tcPr>
          <w:p w14:paraId="43993AC7">
            <w:pPr>
              <w:rPr>
                <w:rFonts w:asciiTheme="minorEastAsia" w:hAnsiTheme="minorEastAsia" w:eastAsiaTheme="minorEastAsia"/>
                <w:color w:val="auto"/>
                <w:sz w:val="24"/>
              </w:rPr>
            </w:pPr>
          </w:p>
        </w:tc>
        <w:tc>
          <w:tcPr>
            <w:tcW w:w="493" w:type="pct"/>
          </w:tcPr>
          <w:p w14:paraId="3AF0982C">
            <w:pPr>
              <w:rPr>
                <w:rFonts w:asciiTheme="minorEastAsia" w:hAnsiTheme="minorEastAsia" w:eastAsiaTheme="minorEastAsia"/>
                <w:color w:val="auto"/>
                <w:sz w:val="24"/>
              </w:rPr>
            </w:pPr>
          </w:p>
        </w:tc>
        <w:tc>
          <w:tcPr>
            <w:tcW w:w="493" w:type="pct"/>
          </w:tcPr>
          <w:p w14:paraId="6C24AC7D">
            <w:pPr>
              <w:rPr>
                <w:rFonts w:asciiTheme="minorEastAsia" w:hAnsiTheme="minorEastAsia" w:eastAsiaTheme="minorEastAsia"/>
                <w:color w:val="auto"/>
                <w:sz w:val="24"/>
              </w:rPr>
            </w:pPr>
          </w:p>
        </w:tc>
        <w:tc>
          <w:tcPr>
            <w:tcW w:w="493" w:type="pct"/>
          </w:tcPr>
          <w:p w14:paraId="57574370">
            <w:pPr>
              <w:rPr>
                <w:rFonts w:asciiTheme="minorEastAsia" w:hAnsiTheme="minorEastAsia" w:eastAsiaTheme="minorEastAsia"/>
                <w:color w:val="auto"/>
                <w:sz w:val="24"/>
              </w:rPr>
            </w:pPr>
          </w:p>
        </w:tc>
        <w:tc>
          <w:tcPr>
            <w:tcW w:w="742" w:type="pct"/>
          </w:tcPr>
          <w:p w14:paraId="33431A94">
            <w:pPr>
              <w:rPr>
                <w:rFonts w:asciiTheme="minorEastAsia" w:hAnsiTheme="minorEastAsia" w:eastAsiaTheme="minorEastAsia"/>
                <w:color w:val="auto"/>
                <w:sz w:val="24"/>
              </w:rPr>
            </w:pPr>
          </w:p>
        </w:tc>
        <w:tc>
          <w:tcPr>
            <w:tcW w:w="742" w:type="pct"/>
          </w:tcPr>
          <w:p w14:paraId="39A583D5">
            <w:pPr>
              <w:rPr>
                <w:rFonts w:asciiTheme="minorEastAsia" w:hAnsiTheme="minorEastAsia" w:eastAsiaTheme="minorEastAsia"/>
                <w:color w:val="auto"/>
                <w:sz w:val="24"/>
              </w:rPr>
            </w:pPr>
          </w:p>
        </w:tc>
        <w:tc>
          <w:tcPr>
            <w:tcW w:w="493" w:type="pct"/>
          </w:tcPr>
          <w:p w14:paraId="24BF337E">
            <w:pPr>
              <w:rPr>
                <w:rFonts w:asciiTheme="minorEastAsia" w:hAnsiTheme="minorEastAsia" w:eastAsiaTheme="minorEastAsia"/>
                <w:color w:val="auto"/>
                <w:sz w:val="24"/>
              </w:rPr>
            </w:pPr>
          </w:p>
        </w:tc>
      </w:tr>
      <w:tr w14:paraId="3F25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4" w:hRule="atLeast"/>
          <w:jc w:val="center"/>
        </w:trPr>
        <w:tc>
          <w:tcPr>
            <w:tcW w:w="1046" w:type="pct"/>
            <w:gridSpan w:val="2"/>
            <w:vAlign w:val="center"/>
          </w:tcPr>
          <w:p w14:paraId="40E24AE0">
            <w:pPr>
              <w:widowControl w:val="0"/>
              <w:jc w:val="center"/>
              <w:rPr>
                <w:rFonts w:hint="default"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合计（元）</w:t>
            </w:r>
          </w:p>
        </w:tc>
        <w:tc>
          <w:tcPr>
            <w:tcW w:w="3953" w:type="pct"/>
            <w:gridSpan w:val="7"/>
          </w:tcPr>
          <w:p w14:paraId="23850A18">
            <w:pPr>
              <w:tabs>
                <w:tab w:val="left" w:pos="2227"/>
              </w:tabs>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ab/>
            </w:r>
          </w:p>
          <w:p w14:paraId="4C54AAC4">
            <w:pPr>
              <w:tabs>
                <w:tab w:val="left" w:pos="2227"/>
              </w:tabs>
              <w:rPr>
                <w:rFonts w:hint="eastAsia" w:asciiTheme="minorEastAsia" w:hAnsiTheme="minorEastAsia" w:eastAsiaTheme="minorEastAsia"/>
                <w:color w:val="auto"/>
                <w:sz w:val="24"/>
                <w:lang w:eastAsia="zh-CN"/>
              </w:rPr>
            </w:pPr>
          </w:p>
          <w:p w14:paraId="57D9A52F">
            <w:pPr>
              <w:tabs>
                <w:tab w:val="left" w:pos="2227"/>
              </w:tabs>
              <w:rPr>
                <w:rFonts w:hint="default"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大写金额：                    小写金额：</w:t>
            </w:r>
          </w:p>
        </w:tc>
      </w:tr>
    </w:tbl>
    <w:p w14:paraId="03245324">
      <w:pPr>
        <w:pStyle w:val="2"/>
      </w:pPr>
    </w:p>
    <w:p w14:paraId="22B6C96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说明：1．本采购清单应与投标人须知、合同条款等文件结合起来查阅与理解。</w:t>
      </w:r>
    </w:p>
    <w:p w14:paraId="5F067F3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490865D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3．采购清单中的各项费用货币单位均为人民币(元)。</w:t>
      </w:r>
    </w:p>
    <w:p w14:paraId="64AF369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5F2C9465">
      <w:pPr>
        <w:wordWrap w:val="0"/>
        <w:spacing w:line="360" w:lineRule="auto"/>
        <w:ind w:firstLine="420" w:firstLineChars="200"/>
        <w:jc w:val="right"/>
        <w:rPr>
          <w:rFonts w:hint="default" w:ascii="宋体" w:hAnsi="宋体" w:eastAsia="宋体" w:cs="宋体"/>
          <w:szCs w:val="21"/>
          <w:lang w:val="en-US"/>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报价人（单位签章）：</w:t>
      </w:r>
      <w:r>
        <w:rPr>
          <w:rFonts w:hint="eastAsia" w:ascii="宋体" w:hAnsi="宋体" w:eastAsia="宋体" w:cs="宋体"/>
          <w:szCs w:val="21"/>
          <w:lang w:val="en-US" w:eastAsia="zh-CN"/>
        </w:rPr>
        <w:t xml:space="preserve">             </w:t>
      </w:r>
    </w:p>
    <w:p w14:paraId="174A4EA8">
      <w:pPr>
        <w:wordWrap w:val="0"/>
        <w:spacing w:line="360" w:lineRule="auto"/>
        <w:ind w:firstLine="420" w:firstLineChars="200"/>
        <w:jc w:val="right"/>
        <w:rPr>
          <w:rFonts w:hint="default" w:ascii="宋体" w:hAnsi="宋体" w:eastAsia="宋体" w:cs="宋体"/>
          <w:szCs w:val="21"/>
          <w:lang w:val="en-US"/>
        </w:rPr>
      </w:pPr>
      <w:r>
        <w:rPr>
          <w:rFonts w:hint="eastAsia" w:ascii="宋体" w:hAnsi="宋体" w:eastAsia="宋体" w:cs="宋体"/>
          <w:szCs w:val="21"/>
        </w:rPr>
        <w:t xml:space="preserve">  法定代表人或其委托代理人（签名）：</w:t>
      </w:r>
      <w:r>
        <w:rPr>
          <w:rFonts w:hint="eastAsia" w:ascii="宋体" w:hAnsi="宋体" w:eastAsia="宋体" w:cs="宋体"/>
          <w:szCs w:val="21"/>
          <w:lang w:val="en-US" w:eastAsia="zh-CN"/>
        </w:rPr>
        <w:t xml:space="preserve">             </w:t>
      </w:r>
    </w:p>
    <w:p w14:paraId="18141309">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日期：202</w:t>
      </w:r>
      <w:r>
        <w:rPr>
          <w:rFonts w:hint="eastAsia" w:ascii="宋体" w:hAnsi="宋体" w:eastAsia="宋体" w:cs="宋体"/>
          <w:szCs w:val="21"/>
          <w:lang w:val="en-US" w:eastAsia="zh-CN"/>
        </w:rPr>
        <w:t>4</w:t>
      </w: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52CC3791">
      <w:pPr>
        <w:rPr>
          <w:rFonts w:ascii="Calibri" w:hAnsi="Calibri" w:eastAsia="宋体" w:cs="Times New Roman"/>
          <w:szCs w:val="24"/>
        </w:rPr>
      </w:pPr>
    </w:p>
    <w:p w14:paraId="1ACF8C0A">
      <w:pPr>
        <w:pStyle w:val="2"/>
      </w:pPr>
    </w:p>
    <w:p w14:paraId="07F97073"/>
    <w:p w14:paraId="08BD9951">
      <w:pPr>
        <w:pStyle w:val="2"/>
      </w:pPr>
    </w:p>
    <w:p w14:paraId="2ABC2540"/>
    <w:p w14:paraId="06018F10">
      <w:pPr>
        <w:pStyle w:val="2"/>
      </w:pPr>
    </w:p>
    <w:p w14:paraId="2DA547F0"/>
    <w:p w14:paraId="2FB76DB7">
      <w:pPr>
        <w:pStyle w:val="2"/>
      </w:pPr>
    </w:p>
    <w:p w14:paraId="7AB50493"/>
    <w:p w14:paraId="1A3D9B2A">
      <w:pPr>
        <w:pStyle w:val="2"/>
      </w:pPr>
    </w:p>
    <w:p w14:paraId="164429DE"/>
    <w:p w14:paraId="5C2203E7">
      <w:pPr>
        <w:pStyle w:val="2"/>
      </w:pPr>
    </w:p>
    <w:p w14:paraId="5D6C7960">
      <w:pPr>
        <w:spacing w:line="360" w:lineRule="auto"/>
        <w:rPr>
          <w:rFonts w:asciiTheme="minorEastAsia" w:hAnsiTheme="minorEastAsia" w:eastAsiaTheme="minorEastAsia"/>
          <w:b/>
          <w:color w:val="auto"/>
          <w:sz w:val="24"/>
        </w:rPr>
      </w:pPr>
    </w:p>
    <w:p w14:paraId="6915ADAB">
      <w:pPr>
        <w:pStyle w:val="15"/>
        <w:spacing w:line="360" w:lineRule="auto"/>
        <w:rPr>
          <w:rFonts w:asciiTheme="minorEastAsia" w:hAnsiTheme="minorEastAsia" w:eastAsiaTheme="minorEastAsia"/>
          <w:b w:val="0"/>
          <w:color w:val="auto"/>
          <w:sz w:val="24"/>
        </w:rPr>
      </w:pPr>
    </w:p>
    <w:p w14:paraId="15C1FF21">
      <w:pPr>
        <w:topLinePunct/>
        <w:spacing w:line="440" w:lineRule="exact"/>
        <w:jc w:val="center"/>
        <w:rPr>
          <w:rFonts w:ascii="Times New Roman" w:hAnsi="Times New Roman" w:eastAsia="黑体" w:cs="Times New Roman"/>
          <w:sz w:val="28"/>
          <w:szCs w:val="28"/>
        </w:rPr>
      </w:pPr>
      <w:bookmarkStart w:id="138" w:name="OLE_LINK13"/>
      <w:bookmarkStart w:id="139" w:name="OLE_LINK14"/>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40" w:name="_Toc27600_WPSOffice_Level2"/>
      <w:bookmarkStart w:id="141" w:name="_Toc2807_WPSOffice_Level2"/>
      <w:r>
        <w:rPr>
          <w:rFonts w:ascii="Times New Roman" w:hAnsi="Times New Roman" w:eastAsia="黑体" w:cs="Times New Roman"/>
          <w:sz w:val="28"/>
          <w:szCs w:val="28"/>
        </w:rPr>
        <w:t>供应商基本情况</w:t>
      </w:r>
      <w:bookmarkEnd w:id="140"/>
      <w:bookmarkEnd w:id="141"/>
    </w:p>
    <w:p w14:paraId="13A5959D">
      <w:pPr>
        <w:pStyle w:val="2"/>
      </w:pPr>
    </w:p>
    <w:tbl>
      <w:tblPr>
        <w:tblStyle w:val="25"/>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73F890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A16EF8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0953A87">
            <w:pPr>
              <w:topLinePunct/>
              <w:spacing w:line="440" w:lineRule="exact"/>
              <w:jc w:val="center"/>
              <w:rPr>
                <w:rFonts w:ascii="Times New Roman" w:hAnsi="Times New Roman" w:eastAsia="宋体" w:cs="Times New Roman"/>
                <w:szCs w:val="21"/>
              </w:rPr>
            </w:pPr>
          </w:p>
        </w:tc>
      </w:tr>
      <w:tr w14:paraId="512974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7810597">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C90B119">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92557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4A0D84DB">
            <w:pPr>
              <w:topLinePunct/>
              <w:spacing w:line="440" w:lineRule="exact"/>
              <w:jc w:val="center"/>
              <w:rPr>
                <w:rFonts w:ascii="Times New Roman" w:hAnsi="Times New Roman" w:eastAsia="宋体" w:cs="Times New Roman"/>
                <w:szCs w:val="21"/>
              </w:rPr>
            </w:pPr>
          </w:p>
        </w:tc>
      </w:tr>
      <w:tr w14:paraId="3E359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36442087">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92F0FC3">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17B766BA">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EA99E4A">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228CB2DF">
            <w:pPr>
              <w:topLinePunct/>
              <w:spacing w:line="440" w:lineRule="exact"/>
              <w:jc w:val="center"/>
              <w:rPr>
                <w:rFonts w:ascii="Times New Roman" w:hAnsi="Times New Roman" w:eastAsia="宋体" w:cs="Times New Roman"/>
                <w:szCs w:val="21"/>
              </w:rPr>
            </w:pPr>
          </w:p>
        </w:tc>
      </w:tr>
      <w:tr w14:paraId="2178E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53614A4C">
            <w:pPr>
              <w:topLinePunct/>
              <w:spacing w:line="440" w:lineRule="exact"/>
              <w:jc w:val="center"/>
              <w:rPr>
                <w:rFonts w:ascii="Times New Roman" w:hAnsi="Times New Roman" w:eastAsia="宋体"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25C9CE65">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71776406">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F7BE92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电子</w:t>
            </w:r>
            <w:r>
              <w:rPr>
                <w:rFonts w:hint="eastAsia" w:ascii="Times New Roman" w:hAnsi="Times New Roman" w:eastAsia="宋体"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419837AC">
            <w:pPr>
              <w:topLinePunct/>
              <w:spacing w:line="440" w:lineRule="exact"/>
              <w:jc w:val="center"/>
              <w:rPr>
                <w:rFonts w:ascii="Times New Roman" w:hAnsi="Times New Roman" w:eastAsia="宋体" w:cs="Times New Roman"/>
                <w:szCs w:val="21"/>
              </w:rPr>
            </w:pPr>
          </w:p>
        </w:tc>
      </w:tr>
      <w:tr w14:paraId="30BAC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5EB0B92">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C820295">
            <w:pPr>
              <w:topLinePunct/>
              <w:spacing w:line="440" w:lineRule="exact"/>
              <w:jc w:val="center"/>
              <w:rPr>
                <w:rFonts w:ascii="Times New Roman" w:hAnsi="Times New Roman" w:eastAsia="宋体"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F52637D">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3FE5FFF">
            <w:pPr>
              <w:topLinePunct/>
              <w:spacing w:line="440" w:lineRule="exact"/>
              <w:jc w:val="center"/>
              <w:rPr>
                <w:rFonts w:ascii="Times New Roman" w:hAnsi="Times New Roman" w:eastAsia="宋体"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1C3D2360">
            <w:pPr>
              <w:topLinePunct/>
              <w:spacing w:line="440" w:lineRule="exact"/>
              <w:jc w:val="center"/>
              <w:rPr>
                <w:rFonts w:ascii="Times New Roman" w:hAnsi="Times New Roman" w:eastAsia="宋体" w:cs="Times New Roman"/>
                <w:szCs w:val="21"/>
              </w:rPr>
            </w:pPr>
          </w:p>
        </w:tc>
      </w:tr>
      <w:tr w14:paraId="08D6C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550C368">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4CED51A">
            <w:pPr>
              <w:topLinePunct/>
              <w:spacing w:line="440" w:lineRule="exact"/>
              <w:jc w:val="center"/>
              <w:rPr>
                <w:rFonts w:ascii="Times New Roman" w:hAnsi="Times New Roman" w:eastAsia="宋体" w:cs="Times New Roman"/>
                <w:szCs w:val="21"/>
              </w:rPr>
            </w:pPr>
          </w:p>
        </w:tc>
      </w:tr>
      <w:tr w14:paraId="09A278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1E84858">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56582EF">
            <w:pPr>
              <w:topLinePunct/>
              <w:spacing w:line="440" w:lineRule="exact"/>
              <w:rPr>
                <w:rFonts w:ascii="Times New Roman" w:hAnsi="Times New Roman" w:eastAsia="宋体" w:cs="Times New Roman"/>
                <w:szCs w:val="21"/>
              </w:rPr>
            </w:pPr>
          </w:p>
          <w:p w14:paraId="6CD02283">
            <w:pPr>
              <w:topLinePunct/>
              <w:spacing w:line="440" w:lineRule="exact"/>
              <w:jc w:val="center"/>
              <w:rPr>
                <w:rFonts w:ascii="Times New Roman" w:hAnsi="Times New Roman" w:eastAsia="宋体" w:cs="Times New Roman"/>
                <w:szCs w:val="21"/>
              </w:rPr>
            </w:pPr>
          </w:p>
          <w:p w14:paraId="08F1F865">
            <w:pPr>
              <w:topLinePunct/>
              <w:spacing w:line="440" w:lineRule="exact"/>
              <w:rPr>
                <w:rFonts w:ascii="Times New Roman" w:hAnsi="Times New Roman" w:eastAsia="宋体" w:cs="Times New Roman"/>
                <w:szCs w:val="21"/>
              </w:rPr>
            </w:pPr>
          </w:p>
        </w:tc>
      </w:tr>
      <w:tr w14:paraId="6737A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D2D2086">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C2DBA98">
            <w:pPr>
              <w:topLinePunct/>
              <w:spacing w:line="440" w:lineRule="exact"/>
              <w:jc w:val="center"/>
              <w:rPr>
                <w:rFonts w:ascii="Times New Roman" w:hAnsi="Times New Roman" w:eastAsia="宋体" w:cs="Times New Roman"/>
                <w:szCs w:val="21"/>
              </w:rPr>
            </w:pPr>
          </w:p>
        </w:tc>
      </w:tr>
    </w:tbl>
    <w:p w14:paraId="1AF5F069">
      <w:pPr>
        <w:widowControl/>
        <w:autoSpaceDE w:val="0"/>
        <w:autoSpaceDN w:val="0"/>
        <w:spacing w:line="360" w:lineRule="atLeast"/>
        <w:ind w:left="180"/>
        <w:textAlignment w:val="bottom"/>
        <w:rPr>
          <w:rFonts w:ascii="Times New Roman" w:hAnsi="Times New Roman" w:eastAsia="宋体" w:cs="Times New Roman"/>
          <w:sz w:val="20"/>
          <w:szCs w:val="20"/>
        </w:rPr>
      </w:pPr>
      <w:r>
        <w:rPr>
          <w:rFonts w:ascii="Times New Roman" w:hAnsi="Times New Roman" w:eastAsia="黑体" w:cs="Times New Roman"/>
          <w:szCs w:val="21"/>
        </w:rPr>
        <w:t>注：</w:t>
      </w:r>
    </w:p>
    <w:p w14:paraId="1D851BB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2B08A4DF">
      <w:pPr>
        <w:pStyle w:val="2"/>
      </w:pPr>
    </w:p>
    <w:bookmarkEnd w:id="138"/>
    <w:bookmarkEnd w:id="139"/>
    <w:p w14:paraId="6E22D9ED">
      <w:pPr>
        <w:spacing w:line="360" w:lineRule="auto"/>
        <w:ind w:firstLine="482"/>
        <w:jc w:val="center"/>
        <w:outlineLvl w:val="1"/>
        <w:rPr>
          <w:rFonts w:hint="eastAsia" w:asciiTheme="minorEastAsia" w:hAnsiTheme="minorEastAsia" w:eastAsiaTheme="minorEastAsia"/>
          <w:b/>
          <w:color w:val="auto"/>
          <w:sz w:val="24"/>
        </w:rPr>
      </w:pPr>
      <w:bookmarkStart w:id="142" w:name="_Toc520299348"/>
      <w:bookmarkStart w:id="143" w:name="_Toc25813"/>
      <w:bookmarkStart w:id="144" w:name="_Toc26536"/>
      <w:bookmarkStart w:id="145" w:name="_Toc457768004"/>
      <w:bookmarkStart w:id="146" w:name="_Hlk11701496"/>
      <w:bookmarkStart w:id="147" w:name="_Toc300210382"/>
    </w:p>
    <w:p w14:paraId="4C9AC469">
      <w:pPr>
        <w:spacing w:line="360" w:lineRule="auto"/>
        <w:ind w:firstLine="482"/>
        <w:jc w:val="center"/>
        <w:outlineLvl w:val="1"/>
        <w:rPr>
          <w:rFonts w:hint="eastAsia" w:asciiTheme="minorEastAsia" w:hAnsiTheme="minorEastAsia" w:eastAsiaTheme="minorEastAsia"/>
          <w:b/>
          <w:color w:val="auto"/>
          <w:sz w:val="24"/>
        </w:rPr>
      </w:pPr>
    </w:p>
    <w:p w14:paraId="2E431D12">
      <w:pPr>
        <w:spacing w:line="360" w:lineRule="auto"/>
        <w:ind w:firstLine="482"/>
        <w:jc w:val="center"/>
        <w:outlineLvl w:val="1"/>
        <w:rPr>
          <w:rFonts w:hint="eastAsia" w:asciiTheme="minorEastAsia" w:hAnsiTheme="minorEastAsia" w:eastAsiaTheme="minorEastAsia"/>
          <w:b/>
          <w:color w:val="auto"/>
          <w:sz w:val="24"/>
        </w:rPr>
      </w:pPr>
    </w:p>
    <w:p w14:paraId="47F3D46D">
      <w:pPr>
        <w:spacing w:line="360" w:lineRule="auto"/>
        <w:ind w:firstLine="482"/>
        <w:jc w:val="center"/>
        <w:outlineLvl w:val="1"/>
        <w:rPr>
          <w:rFonts w:hint="eastAsia" w:asciiTheme="minorEastAsia" w:hAnsiTheme="minorEastAsia" w:eastAsiaTheme="minorEastAsia"/>
          <w:b/>
          <w:color w:val="auto"/>
          <w:sz w:val="24"/>
        </w:rPr>
      </w:pPr>
    </w:p>
    <w:p w14:paraId="227757EA">
      <w:pPr>
        <w:spacing w:line="360" w:lineRule="auto"/>
        <w:ind w:firstLine="482"/>
        <w:jc w:val="center"/>
        <w:outlineLvl w:val="1"/>
        <w:rPr>
          <w:rFonts w:hint="eastAsia" w:asciiTheme="minorEastAsia" w:hAnsiTheme="minorEastAsia" w:eastAsiaTheme="minorEastAsia"/>
          <w:b/>
          <w:color w:val="auto"/>
          <w:sz w:val="24"/>
        </w:rPr>
      </w:pPr>
    </w:p>
    <w:p w14:paraId="22A2317D">
      <w:pPr>
        <w:spacing w:line="360" w:lineRule="auto"/>
        <w:ind w:firstLine="482"/>
        <w:jc w:val="center"/>
        <w:outlineLvl w:val="1"/>
        <w:rPr>
          <w:rFonts w:hint="eastAsia" w:asciiTheme="minorEastAsia" w:hAnsiTheme="minorEastAsia" w:eastAsiaTheme="minorEastAsia"/>
          <w:b/>
          <w:color w:val="auto"/>
          <w:sz w:val="24"/>
        </w:rPr>
      </w:pPr>
    </w:p>
    <w:p w14:paraId="2FF8C3C3">
      <w:pPr>
        <w:spacing w:line="360" w:lineRule="auto"/>
        <w:ind w:firstLine="482"/>
        <w:jc w:val="center"/>
        <w:outlineLvl w:val="1"/>
        <w:rPr>
          <w:rFonts w:hint="eastAsia" w:asciiTheme="minorEastAsia" w:hAnsiTheme="minorEastAsia" w:eastAsiaTheme="minorEastAsia"/>
          <w:b/>
          <w:color w:val="auto"/>
          <w:sz w:val="24"/>
        </w:rPr>
      </w:pPr>
    </w:p>
    <w:bookmarkEnd w:id="142"/>
    <w:bookmarkEnd w:id="143"/>
    <w:bookmarkEnd w:id="144"/>
    <w:bookmarkEnd w:id="145"/>
    <w:bookmarkEnd w:id="146"/>
    <w:bookmarkEnd w:id="147"/>
    <w:p w14:paraId="75E60020">
      <w:pPr>
        <w:widowControl w:val="0"/>
        <w:spacing w:after="120" w:line="240" w:lineRule="atLeast"/>
        <w:ind w:left="560" w:leftChars="0" w:right="-512" w:rightChars="-244" w:hanging="560" w:hangingChars="200"/>
        <w:jc w:val="center"/>
        <w:rPr>
          <w:rFonts w:ascii="Times New Roman" w:hAnsi="Times New Roman" w:eastAsia="宋体" w:cs="Times New Roman"/>
          <w:kern w:val="2"/>
          <w:sz w:val="28"/>
          <w:szCs w:val="28"/>
          <w:lang w:val="en-US" w:eastAsia="zh-CN" w:bidi="ar-SA"/>
        </w:rPr>
      </w:pPr>
      <w:bookmarkStart w:id="148" w:name="_Toc19004_WPSOffice_Level1"/>
      <w:bookmarkStart w:id="149" w:name="_Toc18547_WPSOffice_Level1"/>
      <w:bookmarkStart w:id="150" w:name="_Toc3772_WPSOffice_Level1"/>
      <w:bookmarkStart w:id="151" w:name="_Toc1452_WPSOffice_Level1"/>
      <w:bookmarkStart w:id="152" w:name="_Toc5072_WPSOffice_Level1"/>
      <w:r>
        <w:rPr>
          <w:rFonts w:hint="eastAsia" w:ascii="Times New Roman" w:hAnsi="Times New Roman" w:eastAsia="黑体" w:cs="Times New Roman"/>
          <w:kern w:val="2"/>
          <w:sz w:val="28"/>
          <w:szCs w:val="28"/>
          <w:lang w:val="en-US" w:eastAsia="zh-CN" w:bidi="ar-SA"/>
        </w:rPr>
        <w:t>五</w:t>
      </w:r>
      <w:r>
        <w:rPr>
          <w:rFonts w:ascii="Times New Roman" w:hAnsi="Times New Roman" w:eastAsia="黑体" w:cs="Times New Roman"/>
          <w:kern w:val="2"/>
          <w:sz w:val="28"/>
          <w:szCs w:val="28"/>
          <w:lang w:val="en-US" w:eastAsia="zh-CN" w:bidi="ar-SA"/>
        </w:rPr>
        <w:t>、近年类似业绩情况</w:t>
      </w:r>
      <w:bookmarkEnd w:id="148"/>
      <w:bookmarkEnd w:id="149"/>
      <w:bookmarkEnd w:id="150"/>
      <w:bookmarkEnd w:id="151"/>
      <w:bookmarkEnd w:id="152"/>
    </w:p>
    <w:tbl>
      <w:tblPr>
        <w:tblStyle w:val="25"/>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17C25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5946521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项目名称</w:t>
            </w:r>
          </w:p>
        </w:tc>
        <w:tc>
          <w:tcPr>
            <w:tcW w:w="6609" w:type="dxa"/>
          </w:tcPr>
          <w:p w14:paraId="676EE195">
            <w:pPr>
              <w:topLinePunct/>
              <w:spacing w:line="440" w:lineRule="exact"/>
              <w:rPr>
                <w:rFonts w:ascii="Times New Roman" w:hAnsi="Times New Roman" w:eastAsia="宋体" w:cs="Times New Roman"/>
                <w:szCs w:val="21"/>
              </w:rPr>
            </w:pPr>
          </w:p>
        </w:tc>
      </w:tr>
      <w:tr w14:paraId="787C5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30F4E98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供货地点</w:t>
            </w:r>
          </w:p>
        </w:tc>
        <w:tc>
          <w:tcPr>
            <w:tcW w:w="6609" w:type="dxa"/>
          </w:tcPr>
          <w:p w14:paraId="1C98E48E">
            <w:pPr>
              <w:topLinePunct/>
              <w:spacing w:line="440" w:lineRule="exact"/>
              <w:rPr>
                <w:rFonts w:ascii="Times New Roman" w:hAnsi="Times New Roman" w:eastAsia="宋体" w:cs="Times New Roman"/>
                <w:szCs w:val="21"/>
              </w:rPr>
            </w:pPr>
          </w:p>
        </w:tc>
      </w:tr>
      <w:tr w14:paraId="30B9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6B000701">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名称</w:t>
            </w:r>
          </w:p>
        </w:tc>
        <w:tc>
          <w:tcPr>
            <w:tcW w:w="6609" w:type="dxa"/>
          </w:tcPr>
          <w:p w14:paraId="2C6C00AE">
            <w:pPr>
              <w:topLinePunct/>
              <w:spacing w:line="440" w:lineRule="exact"/>
              <w:rPr>
                <w:rFonts w:ascii="Times New Roman" w:hAnsi="Times New Roman" w:eastAsia="宋体" w:cs="Times New Roman"/>
                <w:szCs w:val="21"/>
              </w:rPr>
            </w:pPr>
          </w:p>
        </w:tc>
      </w:tr>
      <w:tr w14:paraId="22C6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DD208F8">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地址</w:t>
            </w:r>
          </w:p>
        </w:tc>
        <w:tc>
          <w:tcPr>
            <w:tcW w:w="6609" w:type="dxa"/>
          </w:tcPr>
          <w:p w14:paraId="173054DF">
            <w:pPr>
              <w:topLinePunct/>
              <w:spacing w:line="440" w:lineRule="exact"/>
              <w:rPr>
                <w:rFonts w:ascii="Times New Roman" w:hAnsi="Times New Roman" w:eastAsia="宋体" w:cs="Times New Roman"/>
                <w:szCs w:val="21"/>
              </w:rPr>
            </w:pPr>
          </w:p>
        </w:tc>
      </w:tr>
      <w:tr w14:paraId="4308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0AC740DC">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电话</w:t>
            </w:r>
          </w:p>
        </w:tc>
        <w:tc>
          <w:tcPr>
            <w:tcW w:w="6609" w:type="dxa"/>
          </w:tcPr>
          <w:p w14:paraId="16E5962E">
            <w:pPr>
              <w:topLinePunct/>
              <w:spacing w:line="440" w:lineRule="exact"/>
              <w:rPr>
                <w:rFonts w:ascii="Times New Roman" w:hAnsi="Times New Roman" w:eastAsia="宋体" w:cs="Times New Roman"/>
                <w:szCs w:val="21"/>
              </w:rPr>
            </w:pPr>
          </w:p>
        </w:tc>
      </w:tr>
      <w:tr w14:paraId="13176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09655F0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合同价格</w:t>
            </w:r>
          </w:p>
        </w:tc>
        <w:tc>
          <w:tcPr>
            <w:tcW w:w="6609" w:type="dxa"/>
          </w:tcPr>
          <w:p w14:paraId="0BD32404">
            <w:pPr>
              <w:topLinePunct/>
              <w:spacing w:line="440" w:lineRule="exact"/>
              <w:rPr>
                <w:rFonts w:ascii="Times New Roman" w:hAnsi="Times New Roman" w:eastAsia="宋体" w:cs="Times New Roman"/>
                <w:szCs w:val="21"/>
              </w:rPr>
            </w:pPr>
          </w:p>
        </w:tc>
      </w:tr>
      <w:tr w14:paraId="0ED91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3D9823F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供货期</w:t>
            </w:r>
          </w:p>
        </w:tc>
        <w:tc>
          <w:tcPr>
            <w:tcW w:w="6609" w:type="dxa"/>
          </w:tcPr>
          <w:p w14:paraId="667DB07E">
            <w:pPr>
              <w:topLinePunct/>
              <w:spacing w:line="440" w:lineRule="exact"/>
              <w:rPr>
                <w:rFonts w:ascii="Times New Roman" w:hAnsi="Times New Roman" w:eastAsia="宋体" w:cs="Times New Roman"/>
                <w:szCs w:val="21"/>
              </w:rPr>
            </w:pPr>
          </w:p>
        </w:tc>
      </w:tr>
      <w:tr w14:paraId="79B6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10CEE1E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供货型号及数量</w:t>
            </w:r>
          </w:p>
        </w:tc>
        <w:tc>
          <w:tcPr>
            <w:tcW w:w="6609" w:type="dxa"/>
          </w:tcPr>
          <w:p w14:paraId="40C08F56">
            <w:pPr>
              <w:topLinePunct/>
              <w:spacing w:line="440" w:lineRule="exact"/>
              <w:rPr>
                <w:rFonts w:ascii="Times New Roman" w:hAnsi="Times New Roman" w:eastAsia="宋体" w:cs="Times New Roman"/>
                <w:szCs w:val="21"/>
              </w:rPr>
            </w:pPr>
          </w:p>
        </w:tc>
      </w:tr>
      <w:tr w14:paraId="0E725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6506F309">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项目描述</w:t>
            </w:r>
          </w:p>
        </w:tc>
        <w:tc>
          <w:tcPr>
            <w:tcW w:w="6609" w:type="dxa"/>
          </w:tcPr>
          <w:p w14:paraId="5383C0D7">
            <w:pPr>
              <w:topLinePunct/>
              <w:spacing w:line="440" w:lineRule="exact"/>
              <w:rPr>
                <w:rFonts w:ascii="Times New Roman" w:hAnsi="Times New Roman" w:eastAsia="宋体" w:cs="Times New Roman"/>
                <w:szCs w:val="21"/>
              </w:rPr>
            </w:pPr>
          </w:p>
        </w:tc>
      </w:tr>
      <w:tr w14:paraId="68615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6C8340AA">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备注</w:t>
            </w:r>
          </w:p>
        </w:tc>
        <w:tc>
          <w:tcPr>
            <w:tcW w:w="6609" w:type="dxa"/>
          </w:tcPr>
          <w:p w14:paraId="5CDD4A91">
            <w:pPr>
              <w:topLinePunct/>
              <w:spacing w:line="440" w:lineRule="exact"/>
              <w:rPr>
                <w:rFonts w:ascii="Times New Roman" w:hAnsi="Times New Roman" w:eastAsia="宋体" w:cs="Times New Roman"/>
                <w:szCs w:val="21"/>
              </w:rPr>
            </w:pPr>
          </w:p>
        </w:tc>
      </w:tr>
    </w:tbl>
    <w:p w14:paraId="654711F9">
      <w:pPr>
        <w:widowControl/>
        <w:autoSpaceDE w:val="0"/>
        <w:autoSpaceDN w:val="0"/>
        <w:spacing w:line="360" w:lineRule="atLeast"/>
        <w:textAlignment w:val="bottom"/>
        <w:rPr>
          <w:rFonts w:ascii="Times New Roman" w:hAnsi="Times New Roman" w:eastAsia="黑体" w:cs="Times New Roman"/>
          <w:sz w:val="20"/>
          <w:szCs w:val="20"/>
        </w:rPr>
      </w:pPr>
    </w:p>
    <w:p w14:paraId="28580D19">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注：</w:t>
      </w:r>
    </w:p>
    <w:p w14:paraId="24010141">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1、每张表格只填写一个项目，并标明序号。</w:t>
      </w:r>
    </w:p>
    <w:p w14:paraId="1084119C">
      <w:pPr>
        <w:topLinePunct/>
        <w:spacing w:line="440" w:lineRule="exact"/>
        <w:jc w:val="both"/>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2、业绩证明材料要求：近3年内销售车辆的合同</w:t>
      </w:r>
      <w:r>
        <w:rPr>
          <w:rFonts w:hint="eastAsia" w:ascii="Times New Roman" w:hAnsi="Times New Roman" w:eastAsia="宋体" w:cs="Times New Roman"/>
          <w:szCs w:val="21"/>
          <w:lang w:val="en-US" w:eastAsia="zh-CN"/>
        </w:rPr>
        <w:t>.</w:t>
      </w:r>
    </w:p>
    <w:p w14:paraId="20DB2DCA">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3、如近年来，供应商法人机构发生合法变更或重组或法人名称变更时，应提供相关部门的合法批件或其他相关证明材料来证明其所附业绩的继承性。</w:t>
      </w:r>
    </w:p>
    <w:p w14:paraId="2DA35236">
      <w:pPr>
        <w:topLinePunct/>
        <w:spacing w:line="440" w:lineRule="exact"/>
        <w:jc w:val="both"/>
        <w:rPr>
          <w:rFonts w:hint="eastAsia" w:ascii="Times New Roman" w:hAnsi="Times New Roman" w:eastAsia="宋体" w:cs="Times New Roman"/>
          <w:szCs w:val="21"/>
        </w:rPr>
      </w:pPr>
    </w:p>
    <w:p w14:paraId="5808B284">
      <w:pPr>
        <w:topLinePunct/>
        <w:spacing w:line="340" w:lineRule="atLeast"/>
        <w:jc w:val="center"/>
        <w:rPr>
          <w:rFonts w:ascii="Times New Roman" w:hAnsi="Times New Roman" w:eastAsia="黑体" w:cs="Times New Roman"/>
          <w:sz w:val="24"/>
          <w:szCs w:val="24"/>
        </w:rPr>
      </w:pPr>
      <w:r>
        <w:rPr>
          <w:rFonts w:ascii="Times New Roman" w:hAnsi="Times New Roman" w:eastAsia="黑体" w:cs="Times New Roman"/>
          <w:sz w:val="28"/>
          <w:szCs w:val="28"/>
        </w:rPr>
        <w:br w:type="page"/>
      </w:r>
    </w:p>
    <w:p w14:paraId="6F44B2C8">
      <w:pPr>
        <w:tabs>
          <w:tab w:val="left" w:pos="3060"/>
        </w:tabs>
        <w:topLinePunct/>
        <w:spacing w:line="440" w:lineRule="exact"/>
        <w:jc w:val="center"/>
        <w:rPr>
          <w:rFonts w:ascii="Times New Roman" w:hAnsi="Times New Roman" w:eastAsia="黑体" w:cs="Times New Roman"/>
          <w:sz w:val="28"/>
          <w:szCs w:val="28"/>
        </w:rPr>
      </w:pPr>
      <w:bookmarkStart w:id="153" w:name="_Toc30712_WPSOffice_Level1"/>
      <w:bookmarkStart w:id="154" w:name="_Toc3893_WPSOffice_Level1"/>
      <w:bookmarkStart w:id="155" w:name="_Toc9267_WPSOffice_Level1"/>
      <w:bookmarkStart w:id="156" w:name="_Toc12019_WPSOffice_Level1"/>
      <w:bookmarkStart w:id="157" w:name="_Toc540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3"/>
      <w:bookmarkEnd w:id="154"/>
      <w:bookmarkEnd w:id="155"/>
      <w:bookmarkEnd w:id="156"/>
      <w:bookmarkEnd w:id="157"/>
    </w:p>
    <w:p w14:paraId="191FE364">
      <w:pPr>
        <w:topLinePunct/>
        <w:spacing w:line="440" w:lineRule="exact"/>
        <w:rPr>
          <w:rFonts w:ascii="Times New Roman" w:hAnsi="Times New Roman" w:eastAsia="宋体" w:cs="Times New Roman"/>
          <w:bCs/>
          <w:sz w:val="23"/>
          <w:szCs w:val="23"/>
        </w:rPr>
      </w:pP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3EACE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92" w:type="pct"/>
          </w:tcPr>
          <w:p w14:paraId="1175CF7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2607" w:type="pct"/>
          </w:tcPr>
          <w:p w14:paraId="728AD55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供应商情况说明</w:t>
            </w:r>
          </w:p>
        </w:tc>
      </w:tr>
      <w:tr w14:paraId="580B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4ED85223">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是否被责令停业，暂扣或吊销执照，或吊销资质证书</w:t>
            </w:r>
          </w:p>
        </w:tc>
        <w:tc>
          <w:tcPr>
            <w:tcW w:w="2607" w:type="pct"/>
          </w:tcPr>
          <w:p w14:paraId="5AD7C38A">
            <w:pPr>
              <w:topLinePunct/>
              <w:spacing w:line="440" w:lineRule="exact"/>
              <w:jc w:val="center"/>
              <w:rPr>
                <w:rFonts w:ascii="Times New Roman" w:hAnsi="Times New Roman" w:eastAsia="宋体" w:cs="Times New Roman"/>
                <w:szCs w:val="21"/>
              </w:rPr>
            </w:pPr>
          </w:p>
        </w:tc>
      </w:tr>
      <w:tr w14:paraId="57B99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3A9CC66">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是否进入清算程序，或被宣告破产，或其他丧失履约能力的情形</w:t>
            </w:r>
          </w:p>
        </w:tc>
        <w:tc>
          <w:tcPr>
            <w:tcW w:w="2607" w:type="pct"/>
          </w:tcPr>
          <w:p w14:paraId="66A46AA0">
            <w:pPr>
              <w:topLinePunct/>
              <w:spacing w:line="440" w:lineRule="exact"/>
              <w:jc w:val="center"/>
              <w:rPr>
                <w:rFonts w:ascii="Times New Roman" w:hAnsi="Times New Roman" w:eastAsia="宋体" w:cs="Times New Roman"/>
                <w:szCs w:val="21"/>
              </w:rPr>
            </w:pPr>
          </w:p>
        </w:tc>
      </w:tr>
      <w:tr w14:paraId="414FB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4EADDC3F">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是否在国家企业信用信息公示系统（http://www.gsxt.gov.cn）中被列入严重违法失信企业名单</w:t>
            </w:r>
          </w:p>
        </w:tc>
        <w:tc>
          <w:tcPr>
            <w:tcW w:w="2607" w:type="pct"/>
          </w:tcPr>
          <w:p w14:paraId="31BDD2F1">
            <w:pPr>
              <w:topLinePunct/>
              <w:spacing w:line="440" w:lineRule="exact"/>
              <w:jc w:val="center"/>
              <w:rPr>
                <w:rFonts w:ascii="Times New Roman" w:hAnsi="Times New Roman" w:eastAsia="宋体" w:cs="Times New Roman"/>
                <w:szCs w:val="21"/>
              </w:rPr>
            </w:pPr>
          </w:p>
        </w:tc>
      </w:tr>
      <w:tr w14:paraId="59A4F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7D4C78E">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是否在“信用中国”网站（http://www.creditchina.gov.cn）中被列入失信被执行人名单</w:t>
            </w:r>
          </w:p>
        </w:tc>
        <w:tc>
          <w:tcPr>
            <w:tcW w:w="2607" w:type="pct"/>
          </w:tcPr>
          <w:p w14:paraId="5CCE374E">
            <w:pPr>
              <w:topLinePunct/>
              <w:spacing w:line="440" w:lineRule="exact"/>
              <w:jc w:val="center"/>
              <w:rPr>
                <w:rFonts w:ascii="Times New Roman" w:hAnsi="Times New Roman" w:eastAsia="宋体" w:cs="Times New Roman"/>
                <w:szCs w:val="21"/>
              </w:rPr>
            </w:pPr>
          </w:p>
        </w:tc>
      </w:tr>
      <w:tr w14:paraId="7718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56C7C80">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是否在近三年内（自</w:t>
            </w:r>
            <w:r>
              <w:rPr>
                <w:rFonts w:hint="eastAsia" w:ascii="Times New Roman" w:hAnsi="Times New Roman" w:eastAsia="宋体" w:cs="Times New Roman"/>
                <w:szCs w:val="21"/>
              </w:rPr>
              <w:t>响应文件递交截止之日</w:t>
            </w:r>
            <w:r>
              <w:rPr>
                <w:rFonts w:ascii="Times New Roman" w:hAnsi="Times New Roman" w:eastAsia="宋体" w:cs="Times New Roman"/>
                <w:szCs w:val="21"/>
              </w:rPr>
              <w:t>向前追溯3年）供应商或其法定代表人有行贿犯罪行为</w:t>
            </w:r>
          </w:p>
        </w:tc>
        <w:tc>
          <w:tcPr>
            <w:tcW w:w="2607" w:type="pct"/>
          </w:tcPr>
          <w:p w14:paraId="224B73D0">
            <w:pPr>
              <w:topLinePunct/>
              <w:spacing w:line="440" w:lineRule="exact"/>
              <w:jc w:val="center"/>
              <w:rPr>
                <w:rFonts w:ascii="Times New Roman" w:hAnsi="Times New Roman" w:eastAsia="宋体" w:cs="Times New Roman"/>
                <w:szCs w:val="21"/>
              </w:rPr>
            </w:pPr>
          </w:p>
        </w:tc>
      </w:tr>
      <w:tr w14:paraId="7F44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F7002">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2607" w:type="pct"/>
          </w:tcPr>
          <w:p w14:paraId="2FA6B65B">
            <w:pPr>
              <w:topLinePunct/>
              <w:spacing w:line="440" w:lineRule="exact"/>
              <w:jc w:val="center"/>
              <w:rPr>
                <w:rFonts w:ascii="Times New Roman" w:hAnsi="Times New Roman" w:eastAsia="宋体" w:cs="Times New Roman"/>
                <w:szCs w:val="21"/>
              </w:rPr>
            </w:pPr>
          </w:p>
        </w:tc>
      </w:tr>
    </w:tbl>
    <w:p w14:paraId="568E099C">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注：本表无需附证明材料。</w:t>
      </w:r>
    </w:p>
    <w:p w14:paraId="126A6E01">
      <w:pPr>
        <w:topLinePunct/>
        <w:spacing w:line="440" w:lineRule="exact"/>
        <w:jc w:val="both"/>
        <w:rPr>
          <w:rFonts w:hint="eastAsia" w:ascii="Times New Roman" w:hAnsi="Times New Roman" w:eastAsia="宋体" w:cs="Times New Roman"/>
          <w:szCs w:val="21"/>
        </w:rPr>
      </w:pPr>
    </w:p>
    <w:p w14:paraId="40BFABC6">
      <w:pPr>
        <w:topLinePunct/>
        <w:spacing w:line="440" w:lineRule="exact"/>
        <w:jc w:val="right"/>
        <w:rPr>
          <w:rFonts w:hint="eastAsia" w:ascii="Times New Roman" w:hAnsi="Times New Roman" w:eastAsia="宋体" w:cs="Times New Roman"/>
          <w:szCs w:val="21"/>
        </w:rPr>
      </w:pPr>
      <w:r>
        <w:rPr>
          <w:rFonts w:hint="eastAsia" w:ascii="Times New Roman" w:hAnsi="Times New Roman" w:eastAsia="宋体" w:cs="Times New Roman"/>
          <w:szCs w:val="21"/>
        </w:rPr>
        <w:t>供应商：(盖单位章)</w:t>
      </w:r>
    </w:p>
    <w:p w14:paraId="31CA13E2">
      <w:pPr>
        <w:topLinePunct/>
        <w:spacing w:line="440" w:lineRule="exact"/>
        <w:jc w:val="right"/>
        <w:rPr>
          <w:rFonts w:hint="eastAsia" w:ascii="Times New Roman" w:hAnsi="Times New Roman" w:eastAsia="宋体" w:cs="Times New Roman"/>
          <w:szCs w:val="21"/>
        </w:rPr>
      </w:pPr>
      <w:r>
        <w:rPr>
          <w:rFonts w:hint="eastAsia" w:ascii="Times New Roman" w:hAnsi="Times New Roman" w:eastAsia="宋体" w:cs="Times New Roman"/>
          <w:szCs w:val="21"/>
        </w:rPr>
        <w:t>年月日</w:t>
      </w:r>
    </w:p>
    <w:p w14:paraId="0C9AC348">
      <w:pPr>
        <w:topLinePunct/>
        <w:spacing w:line="440" w:lineRule="exact"/>
        <w:jc w:val="both"/>
        <w:rPr>
          <w:rFonts w:hint="eastAsia" w:ascii="Times New Roman" w:hAnsi="Times New Roman" w:eastAsia="宋体" w:cs="Times New Roman"/>
          <w:szCs w:val="21"/>
        </w:rPr>
      </w:pPr>
    </w:p>
    <w:p w14:paraId="2294FAE2">
      <w:pPr>
        <w:widowControl w:val="0"/>
        <w:spacing w:after="120" w:line="440" w:lineRule="exact"/>
        <w:jc w:val="both"/>
        <w:rPr>
          <w:rFonts w:ascii="Times New Roman" w:hAnsi="Times New Roman" w:eastAsia="宋体" w:cs="Times New Roman"/>
          <w:kern w:val="2"/>
          <w:sz w:val="24"/>
          <w:szCs w:val="24"/>
          <w:lang w:val="en-US" w:eastAsia="zh-CN" w:bidi="ar-SA"/>
        </w:rPr>
      </w:pPr>
    </w:p>
    <w:p w14:paraId="44EE69A2">
      <w:pPr>
        <w:spacing w:line="400" w:lineRule="atLeast"/>
        <w:rPr>
          <w:rFonts w:ascii="Calibri" w:hAnsi="Calibri" w:eastAsia="宋体" w:cs="Times New Roman"/>
          <w:szCs w:val="24"/>
        </w:rPr>
      </w:pPr>
    </w:p>
    <w:p w14:paraId="49E419F6">
      <w:pPr>
        <w:widowControl w:val="0"/>
        <w:spacing w:after="120"/>
        <w:jc w:val="both"/>
        <w:rPr>
          <w:rFonts w:ascii="Calibri" w:hAnsi="Calibri" w:eastAsia="宋体" w:cs="Times New Roman"/>
          <w:kern w:val="2"/>
          <w:sz w:val="21"/>
          <w:szCs w:val="24"/>
          <w:lang w:val="en-US" w:eastAsia="zh-CN" w:bidi="ar-SA"/>
        </w:rPr>
      </w:pPr>
    </w:p>
    <w:p w14:paraId="16DC52F4">
      <w:pPr>
        <w:widowControl w:val="0"/>
        <w:spacing w:after="120"/>
        <w:jc w:val="both"/>
        <w:rPr>
          <w:rFonts w:ascii="Calibri" w:hAnsi="Calibri" w:eastAsia="宋体" w:cs="Times New Roman"/>
          <w:kern w:val="2"/>
          <w:sz w:val="21"/>
          <w:szCs w:val="24"/>
          <w:lang w:val="en-US" w:eastAsia="zh-CN" w:bidi="ar-SA"/>
        </w:rPr>
      </w:pPr>
    </w:p>
    <w:p w14:paraId="0863AA7C">
      <w:pPr>
        <w:widowControl w:val="0"/>
        <w:spacing w:after="120"/>
        <w:jc w:val="both"/>
        <w:rPr>
          <w:rFonts w:ascii="Calibri" w:hAnsi="Calibri" w:eastAsia="宋体" w:cs="Times New Roman"/>
          <w:kern w:val="2"/>
          <w:sz w:val="21"/>
          <w:szCs w:val="24"/>
          <w:lang w:val="en-US" w:eastAsia="zh-CN" w:bidi="ar-SA"/>
        </w:rPr>
      </w:pPr>
    </w:p>
    <w:p w14:paraId="54207E3D">
      <w:pPr>
        <w:widowControl w:val="0"/>
        <w:spacing w:after="120"/>
        <w:jc w:val="both"/>
        <w:rPr>
          <w:rFonts w:ascii="Calibri" w:hAnsi="Calibri" w:eastAsia="宋体" w:cs="Times New Roman"/>
          <w:kern w:val="2"/>
          <w:sz w:val="21"/>
          <w:szCs w:val="24"/>
          <w:lang w:val="en-US" w:eastAsia="zh-CN" w:bidi="ar-SA"/>
        </w:rPr>
      </w:pPr>
    </w:p>
    <w:p w14:paraId="3BEE5203">
      <w:pPr>
        <w:widowControl w:val="0"/>
        <w:spacing w:after="120"/>
        <w:jc w:val="both"/>
        <w:rPr>
          <w:rFonts w:ascii="Calibri" w:hAnsi="Calibri" w:eastAsia="宋体" w:cs="Times New Roman"/>
          <w:kern w:val="2"/>
          <w:sz w:val="21"/>
          <w:szCs w:val="24"/>
          <w:lang w:val="en-US" w:eastAsia="zh-CN" w:bidi="ar-SA"/>
        </w:rPr>
      </w:pPr>
    </w:p>
    <w:p w14:paraId="1FE7DEB8">
      <w:pPr>
        <w:widowControl w:val="0"/>
        <w:spacing w:after="120"/>
        <w:jc w:val="both"/>
        <w:rPr>
          <w:rFonts w:ascii="Calibri" w:hAnsi="Calibri" w:eastAsia="宋体" w:cs="Times New Roman"/>
          <w:kern w:val="2"/>
          <w:sz w:val="21"/>
          <w:szCs w:val="24"/>
          <w:lang w:val="en-US" w:eastAsia="zh-CN" w:bidi="ar-SA"/>
        </w:rPr>
      </w:pPr>
    </w:p>
    <w:p w14:paraId="68DFD684">
      <w:pPr>
        <w:widowControl w:val="0"/>
        <w:numPr>
          <w:ilvl w:val="0"/>
          <w:numId w:val="14"/>
        </w:numPr>
        <w:spacing w:after="120"/>
        <w:jc w:val="center"/>
        <w:rPr>
          <w:rFonts w:asciiTheme="minorEastAsia" w:hAnsiTheme="minorEastAsia" w:eastAsiaTheme="minorEastAsia"/>
          <w:color w:val="auto"/>
          <w:sz w:val="24"/>
        </w:rPr>
      </w:pPr>
      <w:r>
        <w:rPr>
          <w:rFonts w:hint="eastAsia" w:ascii="黑体" w:hAnsi="黑体" w:eastAsia="黑体" w:cs="黑体"/>
          <w:kern w:val="2"/>
          <w:sz w:val="28"/>
          <w:szCs w:val="28"/>
          <w:lang w:val="en-US" w:eastAsia="zh-CN" w:bidi="ar-SA"/>
        </w:rPr>
        <w:t>技术性能（质量）指标描述</w:t>
      </w:r>
      <w:r>
        <w:rPr>
          <w:rFonts w:asciiTheme="minorEastAsia" w:hAnsiTheme="minorEastAsia" w:eastAsiaTheme="minorEastAsia"/>
          <w:color w:val="auto"/>
          <w:sz w:val="24"/>
        </w:rPr>
        <w:br w:type="page"/>
      </w:r>
    </w:p>
    <w:p w14:paraId="5850D503">
      <w:pPr>
        <w:pStyle w:val="2"/>
        <w:numPr>
          <w:ilvl w:val="0"/>
          <w:numId w:val="0"/>
        </w:num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6765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543A1138">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序号</w:t>
            </w:r>
          </w:p>
        </w:tc>
        <w:tc>
          <w:tcPr>
            <w:tcW w:w="1124" w:type="pct"/>
            <w:vAlign w:val="center"/>
          </w:tcPr>
          <w:p w14:paraId="41218222">
            <w:pPr>
              <w:widowControl w:val="0"/>
              <w:ind w:firstLine="482"/>
              <w:jc w:val="both"/>
              <w:rPr>
                <w:rFonts w:cs="Wingdings" w:asciiTheme="minorEastAsia" w:hAnsiTheme="minorEastAsia" w:eastAsiaTheme="minorEastAsia"/>
                <w:b/>
                <w:color w:val="auto"/>
                <w:kern w:val="2"/>
                <w:sz w:val="24"/>
                <w:szCs w:val="22"/>
                <w:lang w:val="en-US" w:eastAsia="zh-CN" w:bidi="ar-SA"/>
              </w:rPr>
            </w:pPr>
            <w:r>
              <w:rPr>
                <w:rFonts w:hint="eastAsia" w:asciiTheme="minorEastAsia" w:hAnsiTheme="minorEastAsia" w:eastAsiaTheme="minorEastAsia" w:cstheme="minorBidi"/>
                <w:b/>
                <w:bCs/>
                <w:color w:val="auto"/>
                <w:kern w:val="2"/>
                <w:sz w:val="24"/>
                <w:szCs w:val="24"/>
                <w:lang w:val="en-US" w:eastAsia="zh-CN" w:bidi="ar-SA"/>
              </w:rPr>
              <w:t>商务条款</w:t>
            </w:r>
          </w:p>
        </w:tc>
        <w:tc>
          <w:tcPr>
            <w:tcW w:w="1465" w:type="pct"/>
            <w:vAlign w:val="center"/>
          </w:tcPr>
          <w:p w14:paraId="1EAB1C1C">
            <w:pPr>
              <w:widowControl w:val="0"/>
              <w:ind w:firstLine="482"/>
              <w:jc w:val="center"/>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招标文件要求</w:t>
            </w:r>
          </w:p>
        </w:tc>
        <w:tc>
          <w:tcPr>
            <w:tcW w:w="1510" w:type="pct"/>
            <w:vAlign w:val="center"/>
          </w:tcPr>
          <w:p w14:paraId="6208A444">
            <w:pPr>
              <w:widowControl w:val="0"/>
              <w:ind w:firstLine="482"/>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投标人承诺</w:t>
            </w:r>
          </w:p>
        </w:tc>
        <w:tc>
          <w:tcPr>
            <w:tcW w:w="475" w:type="pct"/>
            <w:vAlign w:val="center"/>
          </w:tcPr>
          <w:p w14:paraId="47C42E45">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偏离说明</w:t>
            </w:r>
          </w:p>
        </w:tc>
      </w:tr>
      <w:tr w14:paraId="1218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6D88647">
            <w:pPr>
              <w:jc w:val="center"/>
              <w:rPr>
                <w:rFonts w:asciiTheme="minorEastAsia" w:hAnsiTheme="minorEastAsia" w:eastAsiaTheme="minorEastAsia"/>
                <w:color w:val="auto"/>
                <w:sz w:val="24"/>
              </w:rPr>
            </w:pPr>
            <w:r>
              <w:rPr>
                <w:rFonts w:asciiTheme="minorEastAsia" w:hAnsiTheme="minorEastAsia" w:eastAsiaTheme="minorEastAsia"/>
                <w:color w:val="auto"/>
                <w:sz w:val="24"/>
              </w:rPr>
              <w:t>1</w:t>
            </w:r>
          </w:p>
        </w:tc>
        <w:tc>
          <w:tcPr>
            <w:tcW w:w="1124" w:type="pct"/>
            <w:vAlign w:val="center"/>
          </w:tcPr>
          <w:p w14:paraId="4254A5FC">
            <w:pPr>
              <w:jc w:val="center"/>
              <w:rPr>
                <w:rFonts w:ascii="宋体" w:hAnsi="宋体" w:eastAsia="宋体"/>
                <w:color w:val="auto"/>
                <w:sz w:val="24"/>
              </w:rPr>
            </w:pPr>
            <w:r>
              <w:rPr>
                <w:rFonts w:asciiTheme="minorEastAsia" w:hAnsiTheme="minorEastAsia" w:eastAsiaTheme="minorEastAsia"/>
                <w:color w:val="auto"/>
                <w:sz w:val="24"/>
              </w:rPr>
              <w:t>付款方式</w:t>
            </w:r>
          </w:p>
        </w:tc>
        <w:tc>
          <w:tcPr>
            <w:tcW w:w="1465" w:type="pct"/>
            <w:vAlign w:val="center"/>
          </w:tcPr>
          <w:p w14:paraId="7C9CE316">
            <w:pPr>
              <w:jc w:val="center"/>
              <w:rPr>
                <w:rFonts w:asciiTheme="minorEastAsia" w:hAnsiTheme="minorEastAsia" w:eastAsiaTheme="minorEastAsia"/>
                <w:color w:val="auto"/>
                <w:sz w:val="24"/>
              </w:rPr>
            </w:pPr>
          </w:p>
        </w:tc>
        <w:tc>
          <w:tcPr>
            <w:tcW w:w="1510" w:type="pct"/>
            <w:vAlign w:val="center"/>
          </w:tcPr>
          <w:p w14:paraId="0EF845EF">
            <w:pPr>
              <w:jc w:val="center"/>
              <w:rPr>
                <w:rFonts w:asciiTheme="minorEastAsia" w:hAnsiTheme="minorEastAsia" w:eastAsiaTheme="minorEastAsia"/>
                <w:color w:val="auto"/>
                <w:sz w:val="24"/>
              </w:rPr>
            </w:pPr>
          </w:p>
        </w:tc>
        <w:tc>
          <w:tcPr>
            <w:tcW w:w="475" w:type="pct"/>
            <w:vAlign w:val="center"/>
          </w:tcPr>
          <w:p w14:paraId="11DBDD8C">
            <w:pPr>
              <w:jc w:val="center"/>
              <w:rPr>
                <w:rFonts w:asciiTheme="minorEastAsia" w:hAnsiTheme="minorEastAsia" w:eastAsiaTheme="minorEastAsia"/>
                <w:color w:val="auto"/>
                <w:sz w:val="24"/>
              </w:rPr>
            </w:pPr>
          </w:p>
        </w:tc>
      </w:tr>
      <w:tr w14:paraId="1F265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1A308A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2</w:t>
            </w:r>
          </w:p>
        </w:tc>
        <w:tc>
          <w:tcPr>
            <w:tcW w:w="1124" w:type="pct"/>
            <w:vAlign w:val="center"/>
          </w:tcPr>
          <w:p w14:paraId="0694859F">
            <w:pPr>
              <w:jc w:val="both"/>
              <w:rPr>
                <w:rFonts w:ascii="宋体" w:hAnsi="宋体" w:eastAsia="宋体"/>
                <w:color w:val="auto"/>
                <w:sz w:val="24"/>
              </w:rPr>
            </w:pPr>
            <w:r>
              <w:rPr>
                <w:rFonts w:hint="eastAsia" w:ascii="宋体" w:hAnsi="宋体" w:eastAsia="宋体"/>
                <w:color w:val="auto"/>
                <w:sz w:val="24"/>
              </w:rPr>
              <w:t>供货及安装地点</w:t>
            </w:r>
          </w:p>
        </w:tc>
        <w:tc>
          <w:tcPr>
            <w:tcW w:w="1465" w:type="pct"/>
            <w:vAlign w:val="center"/>
          </w:tcPr>
          <w:p w14:paraId="03CD4A42">
            <w:pPr>
              <w:jc w:val="center"/>
              <w:rPr>
                <w:rFonts w:asciiTheme="minorEastAsia" w:hAnsiTheme="minorEastAsia" w:eastAsiaTheme="minorEastAsia"/>
                <w:color w:val="auto"/>
                <w:sz w:val="24"/>
              </w:rPr>
            </w:pPr>
          </w:p>
        </w:tc>
        <w:tc>
          <w:tcPr>
            <w:tcW w:w="1510" w:type="pct"/>
            <w:vAlign w:val="center"/>
          </w:tcPr>
          <w:p w14:paraId="4031AB6C">
            <w:pPr>
              <w:jc w:val="center"/>
              <w:rPr>
                <w:rFonts w:asciiTheme="minorEastAsia" w:hAnsiTheme="minorEastAsia" w:eastAsiaTheme="minorEastAsia"/>
                <w:color w:val="auto"/>
                <w:sz w:val="24"/>
              </w:rPr>
            </w:pPr>
          </w:p>
        </w:tc>
        <w:tc>
          <w:tcPr>
            <w:tcW w:w="475" w:type="pct"/>
            <w:vAlign w:val="center"/>
          </w:tcPr>
          <w:p w14:paraId="240447C1">
            <w:pPr>
              <w:jc w:val="center"/>
              <w:rPr>
                <w:rFonts w:asciiTheme="minorEastAsia" w:hAnsiTheme="minorEastAsia" w:eastAsiaTheme="minorEastAsia"/>
                <w:color w:val="auto"/>
                <w:sz w:val="24"/>
              </w:rPr>
            </w:pPr>
          </w:p>
        </w:tc>
      </w:tr>
      <w:tr w14:paraId="26F9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0BDC7CE9">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3</w:t>
            </w:r>
          </w:p>
        </w:tc>
        <w:tc>
          <w:tcPr>
            <w:tcW w:w="1124" w:type="pct"/>
            <w:vAlign w:val="center"/>
          </w:tcPr>
          <w:p w14:paraId="029585F9">
            <w:pPr>
              <w:jc w:val="center"/>
              <w:rPr>
                <w:rFonts w:ascii="宋体" w:hAnsi="宋体" w:eastAsia="宋体"/>
                <w:color w:val="auto"/>
                <w:sz w:val="24"/>
              </w:rPr>
            </w:pPr>
            <w:r>
              <w:rPr>
                <w:rFonts w:hint="eastAsia" w:ascii="宋体" w:hAnsi="宋体" w:eastAsia="宋体"/>
                <w:color w:val="auto"/>
                <w:sz w:val="24"/>
              </w:rPr>
              <w:t>供货及安装期限</w:t>
            </w:r>
          </w:p>
        </w:tc>
        <w:tc>
          <w:tcPr>
            <w:tcW w:w="1465" w:type="pct"/>
            <w:vAlign w:val="center"/>
          </w:tcPr>
          <w:p w14:paraId="23135DEE">
            <w:pPr>
              <w:jc w:val="center"/>
              <w:rPr>
                <w:rFonts w:asciiTheme="minorEastAsia" w:hAnsiTheme="minorEastAsia" w:eastAsiaTheme="minorEastAsia"/>
                <w:color w:val="auto"/>
                <w:sz w:val="24"/>
              </w:rPr>
            </w:pPr>
          </w:p>
        </w:tc>
        <w:tc>
          <w:tcPr>
            <w:tcW w:w="1510" w:type="pct"/>
            <w:vAlign w:val="center"/>
          </w:tcPr>
          <w:p w14:paraId="70D7CFAF">
            <w:pPr>
              <w:widowControl w:val="0"/>
              <w:jc w:val="center"/>
              <w:rPr>
                <w:rFonts w:cs="Arial" w:asciiTheme="minorEastAsia" w:hAnsiTheme="minorEastAsia" w:eastAsiaTheme="minorEastAsia"/>
                <w:color w:val="auto"/>
                <w:kern w:val="2"/>
                <w:sz w:val="24"/>
                <w:lang w:val="en-US" w:eastAsia="zh-CN" w:bidi="ar-SA"/>
              </w:rPr>
            </w:pPr>
          </w:p>
        </w:tc>
        <w:tc>
          <w:tcPr>
            <w:tcW w:w="475" w:type="pct"/>
            <w:vAlign w:val="center"/>
          </w:tcPr>
          <w:p w14:paraId="2F98D099">
            <w:pPr>
              <w:jc w:val="center"/>
              <w:rPr>
                <w:rFonts w:asciiTheme="minorEastAsia" w:hAnsiTheme="minorEastAsia" w:eastAsiaTheme="minorEastAsia"/>
                <w:color w:val="auto"/>
                <w:sz w:val="24"/>
              </w:rPr>
            </w:pPr>
          </w:p>
        </w:tc>
      </w:tr>
      <w:tr w14:paraId="4BE8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2CCF012">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4</w:t>
            </w:r>
          </w:p>
        </w:tc>
        <w:tc>
          <w:tcPr>
            <w:tcW w:w="1124" w:type="pct"/>
            <w:vAlign w:val="center"/>
          </w:tcPr>
          <w:p w14:paraId="77E62DE8">
            <w:pPr>
              <w:jc w:val="center"/>
              <w:rPr>
                <w:rFonts w:ascii="宋体" w:hAnsi="宋体" w:eastAsia="宋体"/>
                <w:color w:val="auto"/>
                <w:sz w:val="24"/>
              </w:rPr>
            </w:pPr>
            <w:r>
              <w:rPr>
                <w:rFonts w:hint="eastAsia" w:ascii="宋体" w:hAnsi="宋体" w:eastAsia="宋体"/>
                <w:color w:val="auto"/>
                <w:sz w:val="24"/>
              </w:rPr>
              <w:t>免费质保期</w:t>
            </w:r>
          </w:p>
        </w:tc>
        <w:tc>
          <w:tcPr>
            <w:tcW w:w="1465" w:type="pct"/>
            <w:vAlign w:val="center"/>
          </w:tcPr>
          <w:p w14:paraId="661DC190">
            <w:pPr>
              <w:jc w:val="center"/>
              <w:rPr>
                <w:rFonts w:asciiTheme="minorEastAsia" w:hAnsiTheme="minorEastAsia" w:eastAsiaTheme="minorEastAsia"/>
                <w:color w:val="auto"/>
                <w:sz w:val="24"/>
              </w:rPr>
            </w:pPr>
          </w:p>
        </w:tc>
        <w:tc>
          <w:tcPr>
            <w:tcW w:w="1510" w:type="pct"/>
            <w:vAlign w:val="center"/>
          </w:tcPr>
          <w:p w14:paraId="7F4DE0BC">
            <w:pPr>
              <w:jc w:val="center"/>
              <w:rPr>
                <w:rFonts w:asciiTheme="minorEastAsia" w:hAnsiTheme="minorEastAsia" w:eastAsiaTheme="minorEastAsia"/>
                <w:color w:val="auto"/>
                <w:sz w:val="24"/>
              </w:rPr>
            </w:pPr>
          </w:p>
        </w:tc>
        <w:tc>
          <w:tcPr>
            <w:tcW w:w="475" w:type="pct"/>
            <w:vAlign w:val="center"/>
          </w:tcPr>
          <w:p w14:paraId="23794363">
            <w:pPr>
              <w:jc w:val="center"/>
              <w:rPr>
                <w:rFonts w:asciiTheme="minorEastAsia" w:hAnsiTheme="minorEastAsia" w:eastAsiaTheme="minorEastAsia"/>
                <w:color w:val="auto"/>
                <w:sz w:val="24"/>
              </w:rPr>
            </w:pPr>
          </w:p>
        </w:tc>
      </w:tr>
      <w:tr w14:paraId="0203B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2C412AA7">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5</w:t>
            </w:r>
          </w:p>
        </w:tc>
        <w:tc>
          <w:tcPr>
            <w:tcW w:w="1124" w:type="pct"/>
            <w:vAlign w:val="center"/>
          </w:tcPr>
          <w:p w14:paraId="122159BB">
            <w:pPr>
              <w:jc w:val="center"/>
              <w:rPr>
                <w:rFonts w:ascii="宋体" w:hAnsi="宋体" w:eastAsia="宋体"/>
                <w:color w:val="auto"/>
                <w:sz w:val="24"/>
              </w:rPr>
            </w:pPr>
            <w:r>
              <w:rPr>
                <w:rFonts w:ascii="宋体" w:hAnsi="宋体" w:eastAsia="宋体"/>
                <w:bCs/>
                <w:color w:val="auto"/>
                <w:kern w:val="0"/>
                <w:sz w:val="24"/>
                <w:szCs w:val="28"/>
              </w:rPr>
              <w:t>维护周期</w:t>
            </w:r>
          </w:p>
        </w:tc>
        <w:tc>
          <w:tcPr>
            <w:tcW w:w="1465" w:type="pct"/>
            <w:vAlign w:val="center"/>
          </w:tcPr>
          <w:p w14:paraId="01037119">
            <w:pPr>
              <w:jc w:val="center"/>
              <w:rPr>
                <w:rFonts w:asciiTheme="minorEastAsia" w:hAnsiTheme="minorEastAsia" w:eastAsiaTheme="minorEastAsia"/>
                <w:color w:val="auto"/>
                <w:sz w:val="24"/>
              </w:rPr>
            </w:pPr>
          </w:p>
        </w:tc>
        <w:tc>
          <w:tcPr>
            <w:tcW w:w="1510" w:type="pct"/>
            <w:vAlign w:val="center"/>
          </w:tcPr>
          <w:p w14:paraId="48FF990A">
            <w:pPr>
              <w:jc w:val="center"/>
              <w:rPr>
                <w:rFonts w:asciiTheme="minorEastAsia" w:hAnsiTheme="minorEastAsia" w:eastAsiaTheme="minorEastAsia"/>
                <w:color w:val="auto"/>
                <w:sz w:val="24"/>
              </w:rPr>
            </w:pPr>
          </w:p>
        </w:tc>
        <w:tc>
          <w:tcPr>
            <w:tcW w:w="475" w:type="pct"/>
            <w:vAlign w:val="center"/>
          </w:tcPr>
          <w:p w14:paraId="57627E0D">
            <w:pPr>
              <w:jc w:val="center"/>
              <w:rPr>
                <w:rFonts w:asciiTheme="minorEastAsia" w:hAnsiTheme="minorEastAsia" w:eastAsiaTheme="minorEastAsia"/>
                <w:color w:val="auto"/>
                <w:sz w:val="24"/>
              </w:rPr>
            </w:pPr>
          </w:p>
        </w:tc>
      </w:tr>
    </w:tbl>
    <w:p w14:paraId="68D38A16">
      <w:pPr>
        <w:pStyle w:val="2"/>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0"/>
        <w:gridCol w:w="2864"/>
        <w:gridCol w:w="2482"/>
        <w:gridCol w:w="856"/>
      </w:tblGrid>
      <w:tr w14:paraId="27B6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6" w:type="pct"/>
            <w:vAlign w:val="center"/>
          </w:tcPr>
          <w:p w14:paraId="6036F652">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序号</w:t>
            </w:r>
          </w:p>
        </w:tc>
        <w:tc>
          <w:tcPr>
            <w:tcW w:w="915" w:type="pct"/>
            <w:vAlign w:val="center"/>
          </w:tcPr>
          <w:p w14:paraId="0B153510">
            <w:pPr>
              <w:widowControl w:val="0"/>
              <w:ind w:firstLine="241" w:firstLineChars="100"/>
              <w:jc w:val="both"/>
              <w:rPr>
                <w:rFonts w:cs="Wingdings" w:asciiTheme="minorEastAsia" w:hAnsiTheme="minorEastAsia" w:eastAsiaTheme="minorEastAsia"/>
                <w:b/>
                <w:color w:val="auto"/>
                <w:kern w:val="2"/>
                <w:sz w:val="24"/>
                <w:szCs w:val="22"/>
                <w:lang w:val="en-US" w:eastAsia="zh-CN" w:bidi="ar-SA"/>
              </w:rPr>
            </w:pPr>
            <w:r>
              <w:rPr>
                <w:rFonts w:hint="eastAsia" w:asciiTheme="minorEastAsia" w:hAnsiTheme="minorEastAsia" w:eastAsiaTheme="minorEastAsia" w:cstheme="minorBidi"/>
                <w:b/>
                <w:bCs/>
                <w:color w:val="auto"/>
                <w:kern w:val="2"/>
                <w:sz w:val="24"/>
                <w:szCs w:val="24"/>
                <w:lang w:val="en-US" w:eastAsia="zh-CN" w:bidi="ar-SA"/>
              </w:rPr>
              <w:t>货物名称</w:t>
            </w:r>
          </w:p>
        </w:tc>
        <w:tc>
          <w:tcPr>
            <w:tcW w:w="1680" w:type="pct"/>
            <w:vAlign w:val="center"/>
          </w:tcPr>
          <w:p w14:paraId="2487D686">
            <w:pPr>
              <w:widowControl w:val="0"/>
              <w:ind w:firstLine="482"/>
              <w:jc w:val="center"/>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招标文件规定的技术参数及要求</w:t>
            </w:r>
          </w:p>
        </w:tc>
        <w:tc>
          <w:tcPr>
            <w:tcW w:w="1456" w:type="pct"/>
            <w:vAlign w:val="center"/>
          </w:tcPr>
          <w:p w14:paraId="7BE21DB9">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所投产品的品牌、型号及技术参数</w:t>
            </w:r>
          </w:p>
        </w:tc>
        <w:tc>
          <w:tcPr>
            <w:tcW w:w="502" w:type="pct"/>
            <w:vAlign w:val="center"/>
          </w:tcPr>
          <w:p w14:paraId="243719C8">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偏离说明</w:t>
            </w:r>
          </w:p>
        </w:tc>
      </w:tr>
      <w:tr w14:paraId="4BC65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787104D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1</w:t>
            </w:r>
          </w:p>
        </w:tc>
        <w:tc>
          <w:tcPr>
            <w:tcW w:w="915" w:type="pct"/>
            <w:vAlign w:val="center"/>
          </w:tcPr>
          <w:p w14:paraId="3E081209">
            <w:pPr>
              <w:jc w:val="center"/>
              <w:rPr>
                <w:rFonts w:asciiTheme="minorEastAsia" w:hAnsiTheme="minorEastAsia" w:eastAsiaTheme="minorEastAsia"/>
                <w:color w:val="auto"/>
                <w:sz w:val="24"/>
              </w:rPr>
            </w:pPr>
          </w:p>
        </w:tc>
        <w:tc>
          <w:tcPr>
            <w:tcW w:w="1680" w:type="pct"/>
            <w:vAlign w:val="center"/>
          </w:tcPr>
          <w:p w14:paraId="493A8CFA">
            <w:pPr>
              <w:jc w:val="center"/>
              <w:rPr>
                <w:rFonts w:asciiTheme="minorEastAsia" w:hAnsiTheme="minorEastAsia" w:eastAsiaTheme="minorEastAsia"/>
                <w:color w:val="auto"/>
                <w:sz w:val="24"/>
              </w:rPr>
            </w:pPr>
          </w:p>
        </w:tc>
        <w:tc>
          <w:tcPr>
            <w:tcW w:w="1456" w:type="pct"/>
            <w:vAlign w:val="center"/>
          </w:tcPr>
          <w:p w14:paraId="288BB38D">
            <w:pPr>
              <w:jc w:val="center"/>
              <w:rPr>
                <w:rFonts w:asciiTheme="minorEastAsia" w:hAnsiTheme="minorEastAsia" w:eastAsiaTheme="minorEastAsia"/>
                <w:color w:val="auto"/>
                <w:sz w:val="24"/>
              </w:rPr>
            </w:pPr>
          </w:p>
        </w:tc>
        <w:tc>
          <w:tcPr>
            <w:tcW w:w="502" w:type="pct"/>
            <w:vAlign w:val="center"/>
          </w:tcPr>
          <w:p w14:paraId="32C5D152">
            <w:pPr>
              <w:jc w:val="center"/>
              <w:rPr>
                <w:rFonts w:asciiTheme="minorEastAsia" w:hAnsiTheme="minorEastAsia" w:eastAsiaTheme="minorEastAsia"/>
                <w:color w:val="auto"/>
                <w:sz w:val="24"/>
              </w:rPr>
            </w:pPr>
          </w:p>
        </w:tc>
      </w:tr>
      <w:tr w14:paraId="6CEBE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4FDF0B76">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2</w:t>
            </w:r>
          </w:p>
        </w:tc>
        <w:tc>
          <w:tcPr>
            <w:tcW w:w="915" w:type="pct"/>
            <w:vAlign w:val="center"/>
          </w:tcPr>
          <w:p w14:paraId="5DD90DAF">
            <w:pPr>
              <w:jc w:val="center"/>
              <w:rPr>
                <w:rFonts w:asciiTheme="minorEastAsia" w:hAnsiTheme="minorEastAsia" w:eastAsiaTheme="minorEastAsia"/>
                <w:color w:val="auto"/>
                <w:sz w:val="24"/>
              </w:rPr>
            </w:pPr>
          </w:p>
        </w:tc>
        <w:tc>
          <w:tcPr>
            <w:tcW w:w="1680" w:type="pct"/>
            <w:vAlign w:val="center"/>
          </w:tcPr>
          <w:p w14:paraId="28AA720C">
            <w:pPr>
              <w:jc w:val="center"/>
              <w:rPr>
                <w:rFonts w:asciiTheme="minorEastAsia" w:hAnsiTheme="minorEastAsia" w:eastAsiaTheme="minorEastAsia"/>
                <w:color w:val="auto"/>
                <w:sz w:val="24"/>
              </w:rPr>
            </w:pPr>
          </w:p>
        </w:tc>
        <w:tc>
          <w:tcPr>
            <w:tcW w:w="1456" w:type="pct"/>
            <w:vAlign w:val="center"/>
          </w:tcPr>
          <w:p w14:paraId="38F99FDC">
            <w:pPr>
              <w:jc w:val="center"/>
              <w:rPr>
                <w:rFonts w:asciiTheme="minorEastAsia" w:hAnsiTheme="minorEastAsia" w:eastAsiaTheme="minorEastAsia"/>
                <w:color w:val="auto"/>
                <w:sz w:val="24"/>
              </w:rPr>
            </w:pPr>
          </w:p>
        </w:tc>
        <w:tc>
          <w:tcPr>
            <w:tcW w:w="502" w:type="pct"/>
            <w:vAlign w:val="center"/>
          </w:tcPr>
          <w:p w14:paraId="2E7E1690">
            <w:pPr>
              <w:jc w:val="center"/>
              <w:rPr>
                <w:rFonts w:asciiTheme="minorEastAsia" w:hAnsiTheme="minorEastAsia" w:eastAsiaTheme="minorEastAsia"/>
                <w:color w:val="auto"/>
                <w:sz w:val="24"/>
              </w:rPr>
            </w:pPr>
          </w:p>
        </w:tc>
      </w:tr>
      <w:tr w14:paraId="1D53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45F13432">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3</w:t>
            </w:r>
          </w:p>
        </w:tc>
        <w:tc>
          <w:tcPr>
            <w:tcW w:w="915" w:type="pct"/>
            <w:vAlign w:val="center"/>
          </w:tcPr>
          <w:p w14:paraId="6916A184">
            <w:pPr>
              <w:jc w:val="center"/>
              <w:rPr>
                <w:rFonts w:asciiTheme="minorEastAsia" w:hAnsiTheme="minorEastAsia" w:eastAsiaTheme="minorEastAsia"/>
                <w:color w:val="auto"/>
                <w:sz w:val="24"/>
              </w:rPr>
            </w:pPr>
          </w:p>
        </w:tc>
        <w:tc>
          <w:tcPr>
            <w:tcW w:w="1680" w:type="pct"/>
            <w:vAlign w:val="center"/>
          </w:tcPr>
          <w:p w14:paraId="2D53D9F8">
            <w:pPr>
              <w:jc w:val="center"/>
              <w:rPr>
                <w:rFonts w:asciiTheme="minorEastAsia" w:hAnsiTheme="minorEastAsia" w:eastAsiaTheme="minorEastAsia"/>
                <w:color w:val="auto"/>
                <w:sz w:val="24"/>
              </w:rPr>
            </w:pPr>
          </w:p>
        </w:tc>
        <w:tc>
          <w:tcPr>
            <w:tcW w:w="1456" w:type="pct"/>
            <w:vAlign w:val="center"/>
          </w:tcPr>
          <w:p w14:paraId="4DE4258B">
            <w:pPr>
              <w:widowControl w:val="0"/>
              <w:jc w:val="center"/>
              <w:rPr>
                <w:rFonts w:cs="Arial" w:asciiTheme="minorEastAsia" w:hAnsiTheme="minorEastAsia" w:eastAsiaTheme="minorEastAsia"/>
                <w:color w:val="auto"/>
                <w:kern w:val="2"/>
                <w:sz w:val="24"/>
                <w:lang w:val="en-US" w:eastAsia="zh-CN" w:bidi="ar-SA"/>
              </w:rPr>
            </w:pPr>
          </w:p>
        </w:tc>
        <w:tc>
          <w:tcPr>
            <w:tcW w:w="502" w:type="pct"/>
            <w:vAlign w:val="center"/>
          </w:tcPr>
          <w:p w14:paraId="7AE5BDA1">
            <w:pPr>
              <w:jc w:val="center"/>
              <w:rPr>
                <w:rFonts w:asciiTheme="minorEastAsia" w:hAnsiTheme="minorEastAsia" w:eastAsiaTheme="minorEastAsia"/>
                <w:color w:val="auto"/>
                <w:sz w:val="24"/>
              </w:rPr>
            </w:pPr>
          </w:p>
        </w:tc>
      </w:tr>
      <w:tr w14:paraId="5443B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6CFAD169">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4</w:t>
            </w:r>
          </w:p>
        </w:tc>
        <w:tc>
          <w:tcPr>
            <w:tcW w:w="915" w:type="pct"/>
            <w:vAlign w:val="center"/>
          </w:tcPr>
          <w:p w14:paraId="64B456AF">
            <w:pPr>
              <w:jc w:val="center"/>
              <w:rPr>
                <w:rFonts w:asciiTheme="minorEastAsia" w:hAnsiTheme="minorEastAsia" w:eastAsiaTheme="minorEastAsia"/>
                <w:color w:val="auto"/>
                <w:sz w:val="24"/>
              </w:rPr>
            </w:pPr>
          </w:p>
        </w:tc>
        <w:tc>
          <w:tcPr>
            <w:tcW w:w="1680" w:type="pct"/>
            <w:vAlign w:val="center"/>
          </w:tcPr>
          <w:p w14:paraId="50661182">
            <w:pPr>
              <w:jc w:val="center"/>
              <w:rPr>
                <w:rFonts w:asciiTheme="minorEastAsia" w:hAnsiTheme="minorEastAsia" w:eastAsiaTheme="minorEastAsia"/>
                <w:color w:val="auto"/>
                <w:sz w:val="24"/>
              </w:rPr>
            </w:pPr>
          </w:p>
        </w:tc>
        <w:tc>
          <w:tcPr>
            <w:tcW w:w="1456" w:type="pct"/>
            <w:vAlign w:val="center"/>
          </w:tcPr>
          <w:p w14:paraId="0035F6B5">
            <w:pPr>
              <w:widowControl w:val="0"/>
              <w:jc w:val="center"/>
              <w:rPr>
                <w:rFonts w:cs="Arial" w:asciiTheme="minorEastAsia" w:hAnsiTheme="minorEastAsia" w:eastAsiaTheme="minorEastAsia"/>
                <w:color w:val="auto"/>
                <w:kern w:val="2"/>
                <w:sz w:val="24"/>
                <w:lang w:val="en-US" w:eastAsia="zh-CN" w:bidi="ar-SA"/>
              </w:rPr>
            </w:pPr>
          </w:p>
        </w:tc>
        <w:tc>
          <w:tcPr>
            <w:tcW w:w="502" w:type="pct"/>
            <w:vAlign w:val="center"/>
          </w:tcPr>
          <w:p w14:paraId="1A9C6C42">
            <w:pPr>
              <w:jc w:val="center"/>
              <w:rPr>
                <w:rFonts w:asciiTheme="minorEastAsia" w:hAnsiTheme="minorEastAsia" w:eastAsiaTheme="minorEastAsia"/>
                <w:color w:val="auto"/>
                <w:sz w:val="24"/>
              </w:rPr>
            </w:pPr>
          </w:p>
        </w:tc>
      </w:tr>
      <w:tr w14:paraId="26934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00213483">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w:t>
            </w:r>
          </w:p>
        </w:tc>
        <w:tc>
          <w:tcPr>
            <w:tcW w:w="915" w:type="pct"/>
            <w:vAlign w:val="center"/>
          </w:tcPr>
          <w:p w14:paraId="2B8D2AB1">
            <w:pPr>
              <w:jc w:val="center"/>
              <w:rPr>
                <w:rFonts w:asciiTheme="minorEastAsia" w:hAnsiTheme="minorEastAsia" w:eastAsiaTheme="minorEastAsia"/>
                <w:color w:val="auto"/>
                <w:sz w:val="24"/>
              </w:rPr>
            </w:pPr>
          </w:p>
        </w:tc>
        <w:tc>
          <w:tcPr>
            <w:tcW w:w="1680" w:type="pct"/>
            <w:vAlign w:val="center"/>
          </w:tcPr>
          <w:p w14:paraId="44CA3357">
            <w:pPr>
              <w:jc w:val="center"/>
              <w:rPr>
                <w:rFonts w:asciiTheme="minorEastAsia" w:hAnsiTheme="minorEastAsia" w:eastAsiaTheme="minorEastAsia"/>
                <w:color w:val="auto"/>
                <w:sz w:val="24"/>
              </w:rPr>
            </w:pPr>
          </w:p>
        </w:tc>
        <w:tc>
          <w:tcPr>
            <w:tcW w:w="1456" w:type="pct"/>
            <w:vAlign w:val="center"/>
          </w:tcPr>
          <w:p w14:paraId="228C854D">
            <w:pPr>
              <w:jc w:val="center"/>
              <w:rPr>
                <w:rFonts w:asciiTheme="minorEastAsia" w:hAnsiTheme="minorEastAsia" w:eastAsiaTheme="minorEastAsia"/>
                <w:color w:val="auto"/>
                <w:sz w:val="24"/>
              </w:rPr>
            </w:pPr>
          </w:p>
        </w:tc>
        <w:tc>
          <w:tcPr>
            <w:tcW w:w="502" w:type="pct"/>
            <w:vAlign w:val="center"/>
          </w:tcPr>
          <w:p w14:paraId="21BFC615">
            <w:pPr>
              <w:jc w:val="center"/>
              <w:rPr>
                <w:rFonts w:asciiTheme="minorEastAsia" w:hAnsiTheme="minorEastAsia" w:eastAsiaTheme="minorEastAsia"/>
                <w:color w:val="auto"/>
                <w:sz w:val="24"/>
              </w:rPr>
            </w:pPr>
          </w:p>
        </w:tc>
      </w:tr>
    </w:tbl>
    <w:p w14:paraId="6B1BA53A">
      <w:pPr>
        <w:spacing w:line="360" w:lineRule="auto"/>
        <w:ind w:firstLine="4800" w:firstLineChars="2000"/>
        <w:rPr>
          <w:rFonts w:hint="eastAsia" w:ascii="宋体" w:hAnsi="宋体" w:eastAsia="宋体"/>
          <w:color w:val="auto"/>
          <w:sz w:val="24"/>
        </w:rPr>
      </w:pPr>
    </w:p>
    <w:p w14:paraId="479BAA4B">
      <w:pPr>
        <w:spacing w:line="360" w:lineRule="auto"/>
        <w:ind w:firstLine="4800" w:firstLineChars="2000"/>
        <w:rPr>
          <w:rFonts w:ascii="宋体" w:hAnsi="宋体" w:eastAsia="宋体"/>
          <w:color w:val="auto"/>
          <w:sz w:val="24"/>
          <w:u w:val="single"/>
        </w:rPr>
      </w:pPr>
      <w:r>
        <w:rPr>
          <w:rFonts w:hint="eastAsia" w:ascii="宋体" w:hAnsi="宋体" w:eastAsia="宋体"/>
          <w:color w:val="auto"/>
          <w:sz w:val="24"/>
          <w:lang w:eastAsia="zh-CN"/>
        </w:rPr>
        <w:t>投标人</w:t>
      </w:r>
      <w:r>
        <w:rPr>
          <w:rFonts w:hint="eastAsia" w:ascii="宋体" w:hAnsi="宋体" w:eastAsia="宋体"/>
          <w:color w:val="auto"/>
          <w:sz w:val="24"/>
        </w:rPr>
        <w:t>：</w:t>
      </w:r>
      <w:r>
        <w:rPr>
          <w:rFonts w:hint="eastAsia" w:ascii="宋体" w:hAnsi="宋体" w:eastAsia="宋体"/>
          <w:color w:val="auto"/>
          <w:sz w:val="24"/>
          <w:u w:val="single"/>
        </w:rPr>
        <w:t xml:space="preserve">             </w:t>
      </w:r>
    </w:p>
    <w:p w14:paraId="51A185DF">
      <w:pPr>
        <w:spacing w:line="360" w:lineRule="auto"/>
        <w:ind w:firstLine="4800" w:firstLineChars="2000"/>
        <w:rPr>
          <w:rFonts w:ascii="宋体" w:hAnsi="宋体" w:eastAsia="宋体"/>
          <w:color w:val="auto"/>
          <w:sz w:val="24"/>
          <w:u w:val="single"/>
        </w:rPr>
      </w:pPr>
      <w:r>
        <w:rPr>
          <w:rFonts w:hint="eastAsia" w:ascii="宋体" w:hAnsi="宋体" w:eastAsia="宋体"/>
          <w:color w:val="auto"/>
          <w:sz w:val="24"/>
        </w:rPr>
        <w:t>日  期：</w:t>
      </w:r>
      <w:r>
        <w:rPr>
          <w:rFonts w:hint="eastAsia" w:ascii="宋体" w:hAnsi="宋体" w:eastAsia="宋体"/>
          <w:color w:val="auto"/>
          <w:sz w:val="24"/>
          <w:u w:val="single"/>
        </w:rPr>
        <w:t xml:space="preserve">             </w:t>
      </w:r>
    </w:p>
    <w:p w14:paraId="06751F2B">
      <w:pPr>
        <w:widowControl w:val="0"/>
        <w:spacing w:after="120"/>
        <w:jc w:val="both"/>
        <w:rPr>
          <w:rFonts w:ascii="黑体" w:hAnsi="黑体" w:eastAsia="黑体" w:cs="黑体"/>
          <w:kern w:val="2"/>
          <w:sz w:val="28"/>
          <w:szCs w:val="28"/>
          <w:lang w:val="en-US" w:eastAsia="zh-CN" w:bidi="ar-SA"/>
        </w:rPr>
      </w:pPr>
      <w:r>
        <w:rPr>
          <w:rFonts w:cs="Arial" w:asciiTheme="minorEastAsia" w:hAnsiTheme="minorEastAsia" w:eastAsiaTheme="minorEastAsia"/>
          <w:b w:val="0"/>
          <w:color w:val="auto"/>
          <w:kern w:val="2"/>
          <w:sz w:val="24"/>
          <w:lang w:val="en-US" w:eastAsia="zh-CN" w:bidi="ar-SA"/>
        </w:rPr>
        <w:br w:type="page"/>
      </w:r>
    </w:p>
    <w:p w14:paraId="1F452C96">
      <w:pPr>
        <w:widowControl w:val="0"/>
        <w:spacing w:after="120"/>
        <w:jc w:val="center"/>
        <w:rPr>
          <w:rFonts w:ascii="黑体" w:hAnsi="黑体" w:eastAsia="黑体" w:cs="黑体"/>
          <w:kern w:val="2"/>
          <w:sz w:val="28"/>
          <w:szCs w:val="28"/>
          <w:lang w:val="en-US" w:eastAsia="zh-CN" w:bidi="ar-SA"/>
        </w:rPr>
      </w:pPr>
    </w:p>
    <w:p w14:paraId="27EE9991">
      <w:pPr>
        <w:spacing w:line="440" w:lineRule="exact"/>
        <w:ind w:left="1619" w:leftChars="771"/>
        <w:rPr>
          <w:rFonts w:ascii="黑体" w:hAnsi="黑体" w:eastAsia="黑体" w:cs="黑体"/>
          <w:sz w:val="28"/>
          <w:szCs w:val="28"/>
        </w:rPr>
      </w:pPr>
    </w:p>
    <w:p w14:paraId="40419ADC">
      <w:pPr>
        <w:widowControl w:val="0"/>
        <w:spacing w:after="120"/>
        <w:jc w:val="center"/>
        <w:rPr>
          <w:rFonts w:ascii="黑体" w:hAnsi="黑体" w:eastAsia="黑体" w:cs="黑体"/>
          <w:kern w:val="2"/>
          <w:sz w:val="28"/>
          <w:szCs w:val="28"/>
          <w:lang w:val="en-US" w:eastAsia="zh-CN" w:bidi="ar-SA"/>
        </w:rPr>
      </w:pPr>
    </w:p>
    <w:p w14:paraId="687FA08F">
      <w:pPr>
        <w:widowControl w:val="0"/>
        <w:spacing w:after="120"/>
        <w:jc w:val="both"/>
        <w:rPr>
          <w:rFonts w:ascii="黑体" w:hAnsi="黑体" w:eastAsia="黑体" w:cs="黑体"/>
          <w:kern w:val="2"/>
          <w:sz w:val="28"/>
          <w:szCs w:val="28"/>
          <w:lang w:val="en-US" w:eastAsia="zh-CN" w:bidi="ar-SA"/>
        </w:rPr>
      </w:pPr>
    </w:p>
    <w:p w14:paraId="37C1E82D">
      <w:pPr>
        <w:widowControl w:val="0"/>
        <w:numPr>
          <w:ilvl w:val="0"/>
          <w:numId w:val="14"/>
        </w:numPr>
        <w:spacing w:after="120"/>
        <w:jc w:val="center"/>
        <w:rPr>
          <w:rFonts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供货方案</w:t>
      </w:r>
    </w:p>
    <w:p w14:paraId="5BF35501">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78648DD">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szCs w:val="24"/>
        </w:rPr>
        <w:t>（由供应商对此次设备采购、供货、安装调试、信誉以及售后服务等方面作出承诺，并详细描述所提供的伴随服务）</w:t>
      </w:r>
    </w:p>
    <w:p w14:paraId="1BDF91A1">
      <w:pPr>
        <w:widowControl w:val="0"/>
        <w:spacing w:after="120"/>
        <w:jc w:val="center"/>
        <w:rPr>
          <w:rFonts w:ascii="黑体" w:hAnsi="黑体" w:eastAsia="黑体" w:cs="黑体"/>
          <w:kern w:val="2"/>
          <w:sz w:val="28"/>
          <w:szCs w:val="28"/>
          <w:lang w:val="en-US" w:eastAsia="zh-CN" w:bidi="ar-SA"/>
        </w:rPr>
      </w:pPr>
    </w:p>
    <w:p w14:paraId="2FFA4B41">
      <w:pPr>
        <w:widowControl w:val="0"/>
        <w:spacing w:after="120"/>
        <w:jc w:val="center"/>
        <w:rPr>
          <w:rFonts w:ascii="黑体" w:hAnsi="黑体" w:eastAsia="黑体" w:cs="黑体"/>
          <w:kern w:val="2"/>
          <w:sz w:val="28"/>
          <w:szCs w:val="28"/>
          <w:lang w:val="en-US" w:eastAsia="zh-CN" w:bidi="ar-SA"/>
        </w:rPr>
      </w:pPr>
    </w:p>
    <w:p w14:paraId="29CD5D17">
      <w:pPr>
        <w:widowControl w:val="0"/>
        <w:spacing w:after="120"/>
        <w:jc w:val="center"/>
        <w:rPr>
          <w:rFonts w:ascii="黑体" w:hAnsi="黑体" w:eastAsia="黑体" w:cs="黑体"/>
          <w:kern w:val="2"/>
          <w:sz w:val="28"/>
          <w:szCs w:val="28"/>
          <w:lang w:val="en-US" w:eastAsia="zh-CN" w:bidi="ar-SA"/>
        </w:rPr>
      </w:pPr>
    </w:p>
    <w:p w14:paraId="4E03382A">
      <w:pPr>
        <w:widowControl w:val="0"/>
        <w:spacing w:after="120"/>
        <w:jc w:val="center"/>
        <w:rPr>
          <w:rFonts w:ascii="黑体" w:hAnsi="黑体" w:eastAsia="黑体" w:cs="黑体"/>
          <w:kern w:val="2"/>
          <w:sz w:val="28"/>
          <w:szCs w:val="28"/>
          <w:lang w:val="en-US" w:eastAsia="zh-CN" w:bidi="ar-SA"/>
        </w:rPr>
      </w:pPr>
    </w:p>
    <w:p w14:paraId="14F289FB">
      <w:pPr>
        <w:widowControl w:val="0"/>
        <w:spacing w:after="120"/>
        <w:jc w:val="center"/>
        <w:rPr>
          <w:rFonts w:ascii="黑体" w:hAnsi="黑体" w:eastAsia="黑体" w:cs="黑体"/>
          <w:kern w:val="2"/>
          <w:sz w:val="28"/>
          <w:szCs w:val="28"/>
          <w:lang w:val="en-US" w:eastAsia="zh-CN" w:bidi="ar-SA"/>
        </w:rPr>
      </w:pPr>
    </w:p>
    <w:p w14:paraId="7E359A5F">
      <w:pPr>
        <w:widowControl w:val="0"/>
        <w:spacing w:after="120"/>
        <w:jc w:val="center"/>
        <w:rPr>
          <w:rFonts w:ascii="黑体" w:hAnsi="黑体" w:eastAsia="黑体" w:cs="黑体"/>
          <w:kern w:val="2"/>
          <w:sz w:val="28"/>
          <w:szCs w:val="28"/>
          <w:lang w:val="en-US" w:eastAsia="zh-CN" w:bidi="ar-SA"/>
        </w:rPr>
      </w:pPr>
    </w:p>
    <w:p w14:paraId="353B9063">
      <w:pPr>
        <w:widowControl w:val="0"/>
        <w:spacing w:after="120"/>
        <w:jc w:val="center"/>
        <w:rPr>
          <w:rFonts w:ascii="黑体" w:hAnsi="黑体" w:eastAsia="黑体" w:cs="黑体"/>
          <w:kern w:val="2"/>
          <w:sz w:val="28"/>
          <w:szCs w:val="28"/>
          <w:lang w:val="en-US" w:eastAsia="zh-CN" w:bidi="ar-SA"/>
        </w:rPr>
      </w:pPr>
    </w:p>
    <w:p w14:paraId="3E08B60B">
      <w:pPr>
        <w:widowControl w:val="0"/>
        <w:spacing w:after="120"/>
        <w:jc w:val="center"/>
        <w:rPr>
          <w:rFonts w:ascii="黑体" w:hAnsi="黑体" w:eastAsia="黑体" w:cs="黑体"/>
          <w:kern w:val="2"/>
          <w:sz w:val="28"/>
          <w:szCs w:val="28"/>
          <w:lang w:val="en-US" w:eastAsia="zh-CN" w:bidi="ar-SA"/>
        </w:rPr>
      </w:pPr>
    </w:p>
    <w:p w14:paraId="04F8D5F0">
      <w:pPr>
        <w:widowControl w:val="0"/>
        <w:spacing w:after="120"/>
        <w:jc w:val="center"/>
        <w:rPr>
          <w:rFonts w:ascii="黑体" w:hAnsi="黑体" w:eastAsia="黑体" w:cs="黑体"/>
          <w:kern w:val="2"/>
          <w:sz w:val="28"/>
          <w:szCs w:val="28"/>
          <w:lang w:val="en-US" w:eastAsia="zh-CN" w:bidi="ar-SA"/>
        </w:rPr>
      </w:pPr>
    </w:p>
    <w:p w14:paraId="0588E052">
      <w:pPr>
        <w:widowControl w:val="0"/>
        <w:spacing w:after="120"/>
        <w:jc w:val="center"/>
        <w:rPr>
          <w:rFonts w:ascii="黑体" w:hAnsi="黑体" w:eastAsia="黑体" w:cs="黑体"/>
          <w:kern w:val="2"/>
          <w:sz w:val="28"/>
          <w:szCs w:val="28"/>
          <w:lang w:val="en-US" w:eastAsia="zh-CN" w:bidi="ar-SA"/>
        </w:rPr>
      </w:pPr>
    </w:p>
    <w:p w14:paraId="3F56D9E4">
      <w:pPr>
        <w:widowControl w:val="0"/>
        <w:spacing w:after="120"/>
        <w:jc w:val="center"/>
        <w:rPr>
          <w:rFonts w:ascii="黑体" w:hAnsi="黑体" w:eastAsia="黑体" w:cs="黑体"/>
          <w:kern w:val="2"/>
          <w:sz w:val="28"/>
          <w:szCs w:val="28"/>
          <w:lang w:val="en-US" w:eastAsia="zh-CN" w:bidi="ar-SA"/>
        </w:rPr>
      </w:pPr>
    </w:p>
    <w:p w14:paraId="1176ABE6">
      <w:pPr>
        <w:widowControl w:val="0"/>
        <w:spacing w:after="120"/>
        <w:jc w:val="center"/>
        <w:rPr>
          <w:rFonts w:ascii="黑体" w:hAnsi="黑体" w:eastAsia="黑体" w:cs="黑体"/>
          <w:kern w:val="2"/>
          <w:sz w:val="28"/>
          <w:szCs w:val="28"/>
          <w:lang w:val="en-US" w:eastAsia="zh-CN" w:bidi="ar-SA"/>
        </w:rPr>
      </w:pPr>
    </w:p>
    <w:p w14:paraId="1AEBF0DB">
      <w:pPr>
        <w:widowControl w:val="0"/>
        <w:spacing w:after="120"/>
        <w:jc w:val="center"/>
        <w:rPr>
          <w:rFonts w:ascii="黑体" w:hAnsi="黑体" w:eastAsia="黑体" w:cs="黑体"/>
          <w:kern w:val="2"/>
          <w:sz w:val="28"/>
          <w:szCs w:val="28"/>
          <w:lang w:val="en-US" w:eastAsia="zh-CN" w:bidi="ar-SA"/>
        </w:rPr>
      </w:pPr>
    </w:p>
    <w:p w14:paraId="59CF92ED">
      <w:pPr>
        <w:widowControl w:val="0"/>
        <w:spacing w:after="120"/>
        <w:jc w:val="both"/>
        <w:rPr>
          <w:rFonts w:ascii="黑体" w:hAnsi="黑体" w:eastAsia="黑体" w:cs="黑体"/>
          <w:kern w:val="2"/>
          <w:sz w:val="28"/>
          <w:szCs w:val="28"/>
          <w:lang w:val="en-US" w:eastAsia="zh-CN" w:bidi="ar-SA"/>
        </w:rPr>
      </w:pPr>
    </w:p>
    <w:p w14:paraId="459F69B5">
      <w:pPr>
        <w:widowControl w:val="0"/>
        <w:spacing w:after="120"/>
        <w:jc w:val="center"/>
        <w:rPr>
          <w:rFonts w:ascii="黑体" w:hAnsi="黑体" w:eastAsia="黑体" w:cs="黑体"/>
          <w:kern w:val="2"/>
          <w:sz w:val="28"/>
          <w:szCs w:val="28"/>
          <w:lang w:val="en-US" w:eastAsia="zh-CN" w:bidi="ar-SA"/>
        </w:rPr>
      </w:pPr>
    </w:p>
    <w:p w14:paraId="25793257">
      <w:pPr>
        <w:widowControl w:val="0"/>
        <w:numPr>
          <w:ilvl w:val="0"/>
          <w:numId w:val="14"/>
        </w:numPr>
        <w:spacing w:after="120"/>
        <w:jc w:val="center"/>
        <w:rPr>
          <w:rFonts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其他材料</w:t>
      </w:r>
    </w:p>
    <w:p w14:paraId="6B4860A9">
      <w:pPr>
        <w:ind w:firstLine="210" w:firstLineChars="100"/>
        <w:jc w:val="center"/>
        <w:rPr>
          <w:rFonts w:ascii="宋体" w:hAnsi="宋体" w:eastAsia="宋体" w:cs="宋体"/>
          <w:color w:val="000000"/>
          <w:szCs w:val="21"/>
          <w:u w:val="single"/>
        </w:rPr>
      </w:pPr>
    </w:p>
    <w:p w14:paraId="21E57FE1">
      <w:pPr>
        <w:ind w:firstLine="210" w:firstLineChars="100"/>
        <w:jc w:val="center"/>
        <w:rPr>
          <w:rFonts w:ascii="宋体" w:hAnsi="宋体" w:eastAsia="宋体" w:cs="宋体"/>
          <w:color w:val="000000"/>
          <w:szCs w:val="21"/>
          <w:u w:val="single"/>
        </w:rPr>
      </w:pPr>
    </w:p>
    <w:p w14:paraId="31120ADE">
      <w:pPr>
        <w:widowControl w:val="0"/>
        <w:spacing w:after="120"/>
        <w:jc w:val="both"/>
        <w:rPr>
          <w:rFonts w:ascii="宋体" w:hAnsi="宋体" w:eastAsia="宋体" w:cs="宋体"/>
          <w:color w:val="000000"/>
          <w:kern w:val="2"/>
          <w:sz w:val="21"/>
          <w:szCs w:val="21"/>
          <w:lang w:val="en-US" w:eastAsia="zh-CN" w:bidi="ar-SA"/>
        </w:rPr>
      </w:pPr>
    </w:p>
    <w:p w14:paraId="51EBA339">
      <w:pPr>
        <w:spacing w:line="360" w:lineRule="auto"/>
        <w:ind w:firstLine="480"/>
        <w:rPr>
          <w:rFonts w:asciiTheme="minorEastAsia" w:hAnsiTheme="minorEastAsia" w:eastAsiaTheme="minorEastAsia"/>
          <w:color w:val="auto"/>
          <w:sz w:val="24"/>
        </w:rPr>
      </w:pPr>
    </w:p>
    <w:p w14:paraId="449460D7">
      <w:pPr>
        <w:spacing w:line="360" w:lineRule="auto"/>
        <w:ind w:firstLine="480"/>
        <w:rPr>
          <w:rFonts w:asciiTheme="minorEastAsia" w:hAnsiTheme="minorEastAsia" w:eastAsiaTheme="minorEastAsia"/>
          <w:color w:val="auto"/>
          <w:sz w:val="24"/>
        </w:rPr>
      </w:pPr>
    </w:p>
    <w:p w14:paraId="61ECE444">
      <w:pPr>
        <w:spacing w:line="360" w:lineRule="auto"/>
        <w:ind w:firstLine="480"/>
        <w:rPr>
          <w:rFonts w:asciiTheme="minorEastAsia" w:hAnsiTheme="minorEastAsia" w:eastAsiaTheme="minorEastAsia"/>
          <w:color w:val="auto"/>
          <w:sz w:val="24"/>
        </w:rPr>
      </w:pPr>
    </w:p>
    <w:p w14:paraId="75ABE6CC">
      <w:pPr>
        <w:spacing w:line="360" w:lineRule="auto"/>
        <w:ind w:firstLine="480"/>
        <w:rPr>
          <w:rFonts w:asciiTheme="minorEastAsia" w:hAnsiTheme="minorEastAsia" w:eastAsiaTheme="minorEastAsia"/>
          <w:color w:val="auto"/>
          <w:sz w:val="24"/>
        </w:rPr>
      </w:pPr>
    </w:p>
    <w:p w14:paraId="03FAEA5E">
      <w:pPr>
        <w:spacing w:line="360" w:lineRule="auto"/>
        <w:ind w:firstLine="480"/>
        <w:rPr>
          <w:rFonts w:asciiTheme="minorEastAsia" w:hAnsiTheme="minorEastAsia" w:eastAsiaTheme="minorEastAsia"/>
          <w:color w:val="auto"/>
          <w:sz w:val="24"/>
        </w:rPr>
      </w:pPr>
    </w:p>
    <w:p w14:paraId="0A054192">
      <w:pPr>
        <w:spacing w:line="360" w:lineRule="auto"/>
        <w:ind w:firstLine="480"/>
        <w:rPr>
          <w:rFonts w:asciiTheme="minorEastAsia" w:hAnsiTheme="minorEastAsia" w:eastAsiaTheme="minorEastAsia"/>
          <w:color w:val="auto"/>
          <w:sz w:val="24"/>
        </w:rPr>
      </w:pPr>
    </w:p>
    <w:p w14:paraId="1D14C565">
      <w:pPr>
        <w:spacing w:line="360" w:lineRule="auto"/>
        <w:ind w:firstLine="480"/>
        <w:rPr>
          <w:rFonts w:asciiTheme="minorEastAsia" w:hAnsiTheme="minorEastAsia" w:eastAsiaTheme="minorEastAsia"/>
          <w:color w:val="auto"/>
          <w:sz w:val="24"/>
        </w:rPr>
      </w:pPr>
    </w:p>
    <w:p w14:paraId="6B5EFD2E">
      <w:pPr>
        <w:spacing w:line="360" w:lineRule="auto"/>
        <w:ind w:firstLine="480"/>
        <w:rPr>
          <w:rFonts w:asciiTheme="minorEastAsia" w:hAnsiTheme="minorEastAsia" w:eastAsiaTheme="minorEastAsia"/>
          <w:color w:val="auto"/>
          <w:sz w:val="24"/>
        </w:rPr>
      </w:pPr>
    </w:p>
    <w:p w14:paraId="46F23A2E">
      <w:pPr>
        <w:spacing w:line="360" w:lineRule="auto"/>
        <w:ind w:firstLine="480"/>
        <w:rPr>
          <w:rFonts w:asciiTheme="minorEastAsia" w:hAnsiTheme="minorEastAsia" w:eastAsiaTheme="minorEastAsia"/>
          <w:color w:val="auto"/>
          <w:sz w:val="24"/>
        </w:rPr>
      </w:pPr>
    </w:p>
    <w:p w14:paraId="3BFAA0A8">
      <w:pPr>
        <w:spacing w:line="360" w:lineRule="auto"/>
        <w:ind w:firstLine="480"/>
        <w:rPr>
          <w:rFonts w:asciiTheme="minorEastAsia" w:hAnsiTheme="minorEastAsia" w:eastAsiaTheme="minorEastAsia"/>
          <w:color w:val="auto"/>
          <w:sz w:val="24"/>
        </w:rPr>
      </w:pPr>
    </w:p>
    <w:p w14:paraId="148E8ABB">
      <w:pPr>
        <w:spacing w:line="360" w:lineRule="auto"/>
        <w:ind w:firstLine="480"/>
        <w:rPr>
          <w:rFonts w:asciiTheme="minorEastAsia" w:hAnsiTheme="minorEastAsia" w:eastAsiaTheme="minorEastAsia"/>
          <w:color w:val="auto"/>
          <w:sz w:val="24"/>
        </w:rPr>
      </w:pPr>
    </w:p>
    <w:p w14:paraId="647F1DCE">
      <w:pPr>
        <w:spacing w:line="360" w:lineRule="auto"/>
        <w:ind w:firstLine="480"/>
        <w:rPr>
          <w:rFonts w:asciiTheme="minorEastAsia" w:hAnsiTheme="minorEastAsia" w:eastAsiaTheme="minorEastAsia"/>
          <w:color w:val="auto"/>
          <w:sz w:val="24"/>
        </w:rPr>
      </w:pPr>
    </w:p>
    <w:p w14:paraId="79FB1B8A">
      <w:pPr>
        <w:spacing w:line="360" w:lineRule="auto"/>
        <w:rPr>
          <w:rFonts w:asciiTheme="minorEastAsia" w:hAnsiTheme="minorEastAsia" w:eastAsiaTheme="minorEastAsia"/>
          <w:color w:val="auto"/>
          <w:sz w:val="24"/>
        </w:rPr>
      </w:pPr>
    </w:p>
    <w:sectPr>
      <w:headerReference r:id="rId4" w:type="default"/>
      <w:footerReference r:id="rId5" w:type="default"/>
      <w:pgSz w:w="11906" w:h="16838"/>
      <w:pgMar w:top="1440" w:right="1800" w:bottom="2835"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简标宋">
    <w:altName w:val="@宋体"/>
    <w:panose1 w:val="00000000000000000000"/>
    <w:charset w:val="86"/>
    <w:family w:val="auto"/>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华文楷体">
    <w:altName w:val="宋体"/>
    <w:panose1 w:val="02010600040101010101"/>
    <w:charset w:val="86"/>
    <w:family w:val="auto"/>
    <w:pitch w:val="default"/>
    <w:sig w:usb0="00000000" w:usb1="00000000" w:usb2="00000010" w:usb3="00000000" w:csb0="0004009F" w:csb1="00000000"/>
  </w:font>
  <w:font w:name="Fang Song">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5871B">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016351">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5016351">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A6C72">
    <w:pPr>
      <w:pStyle w:val="17"/>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5C6C9B">
                          <w:pPr>
                            <w:pStyle w:val="1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B5C6C9B">
                    <w:pPr>
                      <w:pStyle w:val="1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5D21B">
    <w:pPr>
      <w:pStyle w:val="18"/>
      <w:ind w:firstLine="36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9F336F21"/>
    <w:multiLevelType w:val="singleLevel"/>
    <w:tmpl w:val="9F336F21"/>
    <w:lvl w:ilvl="0" w:tentative="0">
      <w:start w:val="1"/>
      <w:numFmt w:val="decimal"/>
      <w:suff w:val="nothing"/>
      <w:lvlText w:val="（%1）"/>
      <w:lvlJc w:val="left"/>
    </w:lvl>
  </w:abstractNum>
  <w:abstractNum w:abstractNumId="3">
    <w:nsid w:val="D12E6943"/>
    <w:multiLevelType w:val="singleLevel"/>
    <w:tmpl w:val="D12E6943"/>
    <w:lvl w:ilvl="0" w:tentative="0">
      <w:start w:val="3"/>
      <w:numFmt w:val="decimal"/>
      <w:lvlText w:val="%1."/>
      <w:lvlJc w:val="left"/>
      <w:pPr>
        <w:tabs>
          <w:tab w:val="left" w:pos="312"/>
        </w:tabs>
      </w:pPr>
    </w:lvl>
  </w:abstractNum>
  <w:abstractNum w:abstractNumId="4">
    <w:nsid w:val="D67D252E"/>
    <w:multiLevelType w:val="singleLevel"/>
    <w:tmpl w:val="D67D252E"/>
    <w:lvl w:ilvl="0" w:tentative="0">
      <w:start w:val="1"/>
      <w:numFmt w:val="chineseCounting"/>
      <w:suff w:val="nothing"/>
      <w:lvlText w:val="%1、"/>
      <w:lvlJc w:val="left"/>
      <w:pPr>
        <w:ind w:left="420"/>
      </w:pPr>
      <w:rPr>
        <w:rFonts w:hint="eastAsia"/>
      </w:rPr>
    </w:lvl>
  </w:abstractNum>
  <w:abstractNum w:abstractNumId="5">
    <w:nsid w:val="D7371AA9"/>
    <w:multiLevelType w:val="singleLevel"/>
    <w:tmpl w:val="D7371AA9"/>
    <w:lvl w:ilvl="0" w:tentative="0">
      <w:start w:val="2"/>
      <w:numFmt w:val="chineseCounting"/>
      <w:suff w:val="nothing"/>
      <w:lvlText w:val="%1、"/>
      <w:lvlJc w:val="left"/>
      <w:rPr>
        <w:rFonts w:hint="eastAsia"/>
      </w:rPr>
    </w:lvl>
  </w:abstractNum>
  <w:abstractNum w:abstractNumId="6">
    <w:nsid w:val="DFE0C90A"/>
    <w:multiLevelType w:val="singleLevel"/>
    <w:tmpl w:val="DFE0C90A"/>
    <w:lvl w:ilvl="0" w:tentative="0">
      <w:start w:val="2"/>
      <w:numFmt w:val="chineseCounting"/>
      <w:suff w:val="nothing"/>
      <w:lvlText w:val="%1、"/>
      <w:lvlJc w:val="left"/>
      <w:rPr>
        <w:rFonts w:hint="eastAsia"/>
      </w:rPr>
    </w:lvl>
  </w:abstractNum>
  <w:abstractNum w:abstractNumId="7">
    <w:nsid w:val="ED97F609"/>
    <w:multiLevelType w:val="singleLevel"/>
    <w:tmpl w:val="ED97F609"/>
    <w:lvl w:ilvl="0" w:tentative="0">
      <w:start w:val="2"/>
      <w:numFmt w:val="decimal"/>
      <w:suff w:val="nothing"/>
      <w:lvlText w:val="%1、"/>
      <w:lvlJc w:val="left"/>
    </w:lvl>
  </w:abstractNum>
  <w:abstractNum w:abstractNumId="8">
    <w:nsid w:val="F1654891"/>
    <w:multiLevelType w:val="singleLevel"/>
    <w:tmpl w:val="F1654891"/>
    <w:lvl w:ilvl="0" w:tentative="0">
      <w:start w:val="6"/>
      <w:numFmt w:val="decimal"/>
      <w:lvlText w:val="%1."/>
      <w:lvlJc w:val="left"/>
      <w:pPr>
        <w:tabs>
          <w:tab w:val="left" w:pos="312"/>
        </w:tabs>
      </w:pPr>
    </w:lvl>
  </w:abstractNum>
  <w:abstractNum w:abstractNumId="9">
    <w:nsid w:val="F92BFB38"/>
    <w:multiLevelType w:val="singleLevel"/>
    <w:tmpl w:val="F92BFB38"/>
    <w:lvl w:ilvl="0" w:tentative="0">
      <w:start w:val="5"/>
      <w:numFmt w:val="chineseCounting"/>
      <w:suff w:val="nothing"/>
      <w:lvlText w:val="%1、"/>
      <w:lvlJc w:val="left"/>
      <w:pPr>
        <w:ind w:left="420"/>
      </w:pPr>
      <w:rPr>
        <w:rFonts w:hint="eastAsia"/>
        <w:b/>
        <w:bCs/>
      </w:rPr>
    </w:lvl>
  </w:abstractNum>
  <w:abstractNum w:abstractNumId="10">
    <w:nsid w:val="2D074A01"/>
    <w:multiLevelType w:val="singleLevel"/>
    <w:tmpl w:val="2D074A01"/>
    <w:lvl w:ilvl="0" w:tentative="0">
      <w:start w:val="1"/>
      <w:numFmt w:val="chineseCounting"/>
      <w:suff w:val="nothing"/>
      <w:lvlText w:val="%1、"/>
      <w:lvlJc w:val="left"/>
      <w:rPr>
        <w:rFonts w:hint="eastAsia"/>
      </w:rPr>
    </w:lvl>
  </w:abstractNum>
  <w:abstractNum w:abstractNumId="11">
    <w:nsid w:val="3C43887A"/>
    <w:multiLevelType w:val="singleLevel"/>
    <w:tmpl w:val="3C43887A"/>
    <w:lvl w:ilvl="0" w:tentative="0">
      <w:start w:val="1"/>
      <w:numFmt w:val="decimal"/>
      <w:suff w:val="nothing"/>
      <w:lvlText w:val="（%1）"/>
      <w:lvlJc w:val="left"/>
    </w:lvl>
  </w:abstractNum>
  <w:abstractNum w:abstractNumId="12">
    <w:nsid w:val="59988EA0"/>
    <w:multiLevelType w:val="singleLevel"/>
    <w:tmpl w:val="59988EA0"/>
    <w:lvl w:ilvl="0" w:tentative="0">
      <w:start w:val="2"/>
      <w:numFmt w:val="decimal"/>
      <w:suff w:val="nothing"/>
      <w:lvlText w:val="%1、"/>
      <w:lvlJc w:val="left"/>
    </w:lvl>
  </w:abstractNum>
  <w:abstractNum w:abstractNumId="13">
    <w:nsid w:val="60A52AEC"/>
    <w:multiLevelType w:val="singleLevel"/>
    <w:tmpl w:val="60A52AEC"/>
    <w:lvl w:ilvl="0" w:tentative="0">
      <w:start w:val="1"/>
      <w:numFmt w:val="chineseCounting"/>
      <w:suff w:val="nothing"/>
      <w:lvlText w:val="%1、"/>
      <w:lvlJc w:val="left"/>
      <w:rPr>
        <w:rFonts w:hint="eastAsia"/>
      </w:rPr>
    </w:lvl>
  </w:abstractNum>
  <w:num w:numId="1">
    <w:abstractNumId w:val="12"/>
  </w:num>
  <w:num w:numId="2">
    <w:abstractNumId w:val="0"/>
  </w:num>
  <w:num w:numId="3">
    <w:abstractNumId w:val="5"/>
  </w:num>
  <w:num w:numId="4">
    <w:abstractNumId w:val="6"/>
  </w:num>
  <w:num w:numId="5">
    <w:abstractNumId w:val="7"/>
  </w:num>
  <w:num w:numId="6">
    <w:abstractNumId w:val="9"/>
  </w:num>
  <w:num w:numId="7">
    <w:abstractNumId w:val="13"/>
  </w:num>
  <w:num w:numId="8">
    <w:abstractNumId w:val="3"/>
  </w:num>
  <w:num w:numId="9">
    <w:abstractNumId w:val="11"/>
  </w:num>
  <w:num w:numId="10">
    <w:abstractNumId w:val="2"/>
  </w:num>
  <w:num w:numId="11">
    <w:abstractNumId w:val="8"/>
  </w:num>
  <w:num w:numId="12">
    <w:abstractNumId w:val="10"/>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276BA1"/>
    <w:rsid w:val="0000043F"/>
    <w:rsid w:val="00003F56"/>
    <w:rsid w:val="000049DA"/>
    <w:rsid w:val="00004F40"/>
    <w:rsid w:val="000056B7"/>
    <w:rsid w:val="000060ED"/>
    <w:rsid w:val="00007546"/>
    <w:rsid w:val="00012A13"/>
    <w:rsid w:val="000131F7"/>
    <w:rsid w:val="00016B6C"/>
    <w:rsid w:val="00017EC7"/>
    <w:rsid w:val="00020B57"/>
    <w:rsid w:val="00033B5B"/>
    <w:rsid w:val="00037DBE"/>
    <w:rsid w:val="00042139"/>
    <w:rsid w:val="00042B14"/>
    <w:rsid w:val="00044347"/>
    <w:rsid w:val="00044F49"/>
    <w:rsid w:val="000450C3"/>
    <w:rsid w:val="00046AFF"/>
    <w:rsid w:val="00050A3F"/>
    <w:rsid w:val="000530EC"/>
    <w:rsid w:val="000544DE"/>
    <w:rsid w:val="00057D56"/>
    <w:rsid w:val="00057D88"/>
    <w:rsid w:val="000648D2"/>
    <w:rsid w:val="00070E0E"/>
    <w:rsid w:val="00076DB7"/>
    <w:rsid w:val="00080B7B"/>
    <w:rsid w:val="00080FEB"/>
    <w:rsid w:val="00081B81"/>
    <w:rsid w:val="00082048"/>
    <w:rsid w:val="00084FA6"/>
    <w:rsid w:val="000868D6"/>
    <w:rsid w:val="000876B4"/>
    <w:rsid w:val="000942BA"/>
    <w:rsid w:val="00094D41"/>
    <w:rsid w:val="00097CB9"/>
    <w:rsid w:val="000A3569"/>
    <w:rsid w:val="000A4640"/>
    <w:rsid w:val="000A6345"/>
    <w:rsid w:val="000A6693"/>
    <w:rsid w:val="000A6B73"/>
    <w:rsid w:val="000A7D94"/>
    <w:rsid w:val="000A7E97"/>
    <w:rsid w:val="000B1511"/>
    <w:rsid w:val="000B54F4"/>
    <w:rsid w:val="000C1DB1"/>
    <w:rsid w:val="000D3F37"/>
    <w:rsid w:val="000D431F"/>
    <w:rsid w:val="000E2208"/>
    <w:rsid w:val="000E3C74"/>
    <w:rsid w:val="000E3F9B"/>
    <w:rsid w:val="000E6689"/>
    <w:rsid w:val="000F00A3"/>
    <w:rsid w:val="000F014C"/>
    <w:rsid w:val="000F172B"/>
    <w:rsid w:val="000F1C24"/>
    <w:rsid w:val="000F2198"/>
    <w:rsid w:val="000F39B6"/>
    <w:rsid w:val="000F6B7B"/>
    <w:rsid w:val="000F6C0B"/>
    <w:rsid w:val="00100B0F"/>
    <w:rsid w:val="0010187C"/>
    <w:rsid w:val="001037E3"/>
    <w:rsid w:val="001075F0"/>
    <w:rsid w:val="00110911"/>
    <w:rsid w:val="00116A70"/>
    <w:rsid w:val="0012143A"/>
    <w:rsid w:val="001222C6"/>
    <w:rsid w:val="00136D80"/>
    <w:rsid w:val="00137C7C"/>
    <w:rsid w:val="0014026B"/>
    <w:rsid w:val="00140687"/>
    <w:rsid w:val="00141707"/>
    <w:rsid w:val="00142AAF"/>
    <w:rsid w:val="00145FE0"/>
    <w:rsid w:val="00146421"/>
    <w:rsid w:val="001467FF"/>
    <w:rsid w:val="001479CF"/>
    <w:rsid w:val="00150567"/>
    <w:rsid w:val="00155F64"/>
    <w:rsid w:val="00157148"/>
    <w:rsid w:val="00157856"/>
    <w:rsid w:val="00160729"/>
    <w:rsid w:val="00160D83"/>
    <w:rsid w:val="00162AC8"/>
    <w:rsid w:val="00162F17"/>
    <w:rsid w:val="001644D1"/>
    <w:rsid w:val="00164D27"/>
    <w:rsid w:val="00166ED8"/>
    <w:rsid w:val="001714C9"/>
    <w:rsid w:val="001720BD"/>
    <w:rsid w:val="001754E2"/>
    <w:rsid w:val="00177DAF"/>
    <w:rsid w:val="0018119B"/>
    <w:rsid w:val="001812B3"/>
    <w:rsid w:val="00181D07"/>
    <w:rsid w:val="001826D0"/>
    <w:rsid w:val="00183344"/>
    <w:rsid w:val="00183897"/>
    <w:rsid w:val="001844AB"/>
    <w:rsid w:val="00190F1F"/>
    <w:rsid w:val="001944B8"/>
    <w:rsid w:val="00195399"/>
    <w:rsid w:val="00196DA3"/>
    <w:rsid w:val="00197AC4"/>
    <w:rsid w:val="001A0DCD"/>
    <w:rsid w:val="001A5D34"/>
    <w:rsid w:val="001A68E5"/>
    <w:rsid w:val="001B21DF"/>
    <w:rsid w:val="001B2A54"/>
    <w:rsid w:val="001B5014"/>
    <w:rsid w:val="001B7327"/>
    <w:rsid w:val="001C1409"/>
    <w:rsid w:val="001C67F2"/>
    <w:rsid w:val="001D53B4"/>
    <w:rsid w:val="001E744D"/>
    <w:rsid w:val="001F28D2"/>
    <w:rsid w:val="001F2F45"/>
    <w:rsid w:val="001F3023"/>
    <w:rsid w:val="001F35F6"/>
    <w:rsid w:val="001F74CA"/>
    <w:rsid w:val="002003B6"/>
    <w:rsid w:val="002020CB"/>
    <w:rsid w:val="002049B4"/>
    <w:rsid w:val="0020520B"/>
    <w:rsid w:val="00205A18"/>
    <w:rsid w:val="00213C55"/>
    <w:rsid w:val="002163CF"/>
    <w:rsid w:val="002168C4"/>
    <w:rsid w:val="002178B1"/>
    <w:rsid w:val="00223CF4"/>
    <w:rsid w:val="00224C4A"/>
    <w:rsid w:val="00230886"/>
    <w:rsid w:val="002338E2"/>
    <w:rsid w:val="0023407E"/>
    <w:rsid w:val="00240B40"/>
    <w:rsid w:val="00241A94"/>
    <w:rsid w:val="002440D8"/>
    <w:rsid w:val="00244182"/>
    <w:rsid w:val="00245F65"/>
    <w:rsid w:val="00246810"/>
    <w:rsid w:val="00260860"/>
    <w:rsid w:val="00260B94"/>
    <w:rsid w:val="00262B3D"/>
    <w:rsid w:val="0026344B"/>
    <w:rsid w:val="00264F2E"/>
    <w:rsid w:val="00271245"/>
    <w:rsid w:val="00272E6E"/>
    <w:rsid w:val="00274A9E"/>
    <w:rsid w:val="00276292"/>
    <w:rsid w:val="00276BA1"/>
    <w:rsid w:val="00277094"/>
    <w:rsid w:val="00286BB6"/>
    <w:rsid w:val="002A1A1D"/>
    <w:rsid w:val="002A28AD"/>
    <w:rsid w:val="002A3AEE"/>
    <w:rsid w:val="002A400A"/>
    <w:rsid w:val="002B08E7"/>
    <w:rsid w:val="002B0C18"/>
    <w:rsid w:val="002B5318"/>
    <w:rsid w:val="002B5373"/>
    <w:rsid w:val="002B6D27"/>
    <w:rsid w:val="002B7DF0"/>
    <w:rsid w:val="002C3776"/>
    <w:rsid w:val="002C4BA9"/>
    <w:rsid w:val="002C78EE"/>
    <w:rsid w:val="002D1258"/>
    <w:rsid w:val="002D128A"/>
    <w:rsid w:val="002D2965"/>
    <w:rsid w:val="002D3D02"/>
    <w:rsid w:val="002D4CB5"/>
    <w:rsid w:val="002D684B"/>
    <w:rsid w:val="002E3B26"/>
    <w:rsid w:val="002E4AB8"/>
    <w:rsid w:val="002E5270"/>
    <w:rsid w:val="002F092B"/>
    <w:rsid w:val="002F2700"/>
    <w:rsid w:val="002F5981"/>
    <w:rsid w:val="002F6521"/>
    <w:rsid w:val="002F72EE"/>
    <w:rsid w:val="003041B1"/>
    <w:rsid w:val="00310070"/>
    <w:rsid w:val="003110EC"/>
    <w:rsid w:val="00313029"/>
    <w:rsid w:val="0031691A"/>
    <w:rsid w:val="00324D38"/>
    <w:rsid w:val="003260C4"/>
    <w:rsid w:val="00327C92"/>
    <w:rsid w:val="00332104"/>
    <w:rsid w:val="00332265"/>
    <w:rsid w:val="0033245B"/>
    <w:rsid w:val="00333292"/>
    <w:rsid w:val="003344E7"/>
    <w:rsid w:val="0033580B"/>
    <w:rsid w:val="0033628B"/>
    <w:rsid w:val="003365E7"/>
    <w:rsid w:val="003378D5"/>
    <w:rsid w:val="003419E9"/>
    <w:rsid w:val="003447AE"/>
    <w:rsid w:val="003473D7"/>
    <w:rsid w:val="00347A18"/>
    <w:rsid w:val="00351AC8"/>
    <w:rsid w:val="00353075"/>
    <w:rsid w:val="0035721F"/>
    <w:rsid w:val="00360F41"/>
    <w:rsid w:val="00363E02"/>
    <w:rsid w:val="00373A96"/>
    <w:rsid w:val="003745BF"/>
    <w:rsid w:val="003826C2"/>
    <w:rsid w:val="00383728"/>
    <w:rsid w:val="00383B8D"/>
    <w:rsid w:val="00390690"/>
    <w:rsid w:val="00391586"/>
    <w:rsid w:val="00394128"/>
    <w:rsid w:val="003947A4"/>
    <w:rsid w:val="00395235"/>
    <w:rsid w:val="0039561A"/>
    <w:rsid w:val="00397C7D"/>
    <w:rsid w:val="003A004F"/>
    <w:rsid w:val="003A5ADB"/>
    <w:rsid w:val="003B0E99"/>
    <w:rsid w:val="003B4130"/>
    <w:rsid w:val="003B67D3"/>
    <w:rsid w:val="003B6C76"/>
    <w:rsid w:val="003B715B"/>
    <w:rsid w:val="003C4630"/>
    <w:rsid w:val="003D1D14"/>
    <w:rsid w:val="003D3753"/>
    <w:rsid w:val="003D6C7C"/>
    <w:rsid w:val="003D6EFB"/>
    <w:rsid w:val="003D7E52"/>
    <w:rsid w:val="003E25C6"/>
    <w:rsid w:val="003E6BEB"/>
    <w:rsid w:val="003F145B"/>
    <w:rsid w:val="003F2122"/>
    <w:rsid w:val="003F326A"/>
    <w:rsid w:val="004011AA"/>
    <w:rsid w:val="0040202C"/>
    <w:rsid w:val="00406508"/>
    <w:rsid w:val="0041456E"/>
    <w:rsid w:val="00414F7E"/>
    <w:rsid w:val="004164F8"/>
    <w:rsid w:val="00417FD0"/>
    <w:rsid w:val="00420B7F"/>
    <w:rsid w:val="004234BA"/>
    <w:rsid w:val="0042488B"/>
    <w:rsid w:val="00431E0F"/>
    <w:rsid w:val="004427B7"/>
    <w:rsid w:val="0044349F"/>
    <w:rsid w:val="00445F1F"/>
    <w:rsid w:val="0045100B"/>
    <w:rsid w:val="00451F60"/>
    <w:rsid w:val="00452BB2"/>
    <w:rsid w:val="00455467"/>
    <w:rsid w:val="00455F85"/>
    <w:rsid w:val="0045656D"/>
    <w:rsid w:val="00462D98"/>
    <w:rsid w:val="00471AE3"/>
    <w:rsid w:val="00472A44"/>
    <w:rsid w:val="00473A89"/>
    <w:rsid w:val="00474D3B"/>
    <w:rsid w:val="00475899"/>
    <w:rsid w:val="00477726"/>
    <w:rsid w:val="004802A8"/>
    <w:rsid w:val="00482C78"/>
    <w:rsid w:val="004874AE"/>
    <w:rsid w:val="00492E2B"/>
    <w:rsid w:val="00494D24"/>
    <w:rsid w:val="004951D1"/>
    <w:rsid w:val="004A27D0"/>
    <w:rsid w:val="004A4D67"/>
    <w:rsid w:val="004A6132"/>
    <w:rsid w:val="004A6FD2"/>
    <w:rsid w:val="004B2D4C"/>
    <w:rsid w:val="004B4818"/>
    <w:rsid w:val="004C0169"/>
    <w:rsid w:val="004C6450"/>
    <w:rsid w:val="004C7378"/>
    <w:rsid w:val="004D0C81"/>
    <w:rsid w:val="004D1030"/>
    <w:rsid w:val="004D3D4B"/>
    <w:rsid w:val="004D4B59"/>
    <w:rsid w:val="004D5498"/>
    <w:rsid w:val="004D66A5"/>
    <w:rsid w:val="004D6B00"/>
    <w:rsid w:val="004D7951"/>
    <w:rsid w:val="004E0AE0"/>
    <w:rsid w:val="004E1D50"/>
    <w:rsid w:val="004E4EFD"/>
    <w:rsid w:val="004E502F"/>
    <w:rsid w:val="004F0396"/>
    <w:rsid w:val="004F1179"/>
    <w:rsid w:val="004F7A31"/>
    <w:rsid w:val="00501382"/>
    <w:rsid w:val="00501870"/>
    <w:rsid w:val="00503E2F"/>
    <w:rsid w:val="005054B9"/>
    <w:rsid w:val="00506E4F"/>
    <w:rsid w:val="00510798"/>
    <w:rsid w:val="00514ED8"/>
    <w:rsid w:val="00515F12"/>
    <w:rsid w:val="00522B2E"/>
    <w:rsid w:val="00524A11"/>
    <w:rsid w:val="00527768"/>
    <w:rsid w:val="005327FB"/>
    <w:rsid w:val="00533FCA"/>
    <w:rsid w:val="00541C0B"/>
    <w:rsid w:val="00541C7F"/>
    <w:rsid w:val="0054317E"/>
    <w:rsid w:val="00544C2A"/>
    <w:rsid w:val="00546D49"/>
    <w:rsid w:val="00551783"/>
    <w:rsid w:val="00556D4C"/>
    <w:rsid w:val="00557C14"/>
    <w:rsid w:val="005614B4"/>
    <w:rsid w:val="005616B5"/>
    <w:rsid w:val="00561799"/>
    <w:rsid w:val="00571315"/>
    <w:rsid w:val="00582075"/>
    <w:rsid w:val="00584A63"/>
    <w:rsid w:val="00585EB3"/>
    <w:rsid w:val="00586A2F"/>
    <w:rsid w:val="00591688"/>
    <w:rsid w:val="00592509"/>
    <w:rsid w:val="00594986"/>
    <w:rsid w:val="00596541"/>
    <w:rsid w:val="00597B15"/>
    <w:rsid w:val="005A044C"/>
    <w:rsid w:val="005A5D27"/>
    <w:rsid w:val="005B5C95"/>
    <w:rsid w:val="005B6740"/>
    <w:rsid w:val="005D0200"/>
    <w:rsid w:val="005D44EF"/>
    <w:rsid w:val="005D4814"/>
    <w:rsid w:val="005D5112"/>
    <w:rsid w:val="005D780A"/>
    <w:rsid w:val="005E67AD"/>
    <w:rsid w:val="005F03E3"/>
    <w:rsid w:val="005F1EA6"/>
    <w:rsid w:val="005F3914"/>
    <w:rsid w:val="005F3B5A"/>
    <w:rsid w:val="005F6AB4"/>
    <w:rsid w:val="00604F3A"/>
    <w:rsid w:val="0060648F"/>
    <w:rsid w:val="00610A66"/>
    <w:rsid w:val="00613177"/>
    <w:rsid w:val="00613F7C"/>
    <w:rsid w:val="00614BF2"/>
    <w:rsid w:val="0061618E"/>
    <w:rsid w:val="00617110"/>
    <w:rsid w:val="00620560"/>
    <w:rsid w:val="006208CB"/>
    <w:rsid w:val="00623DE2"/>
    <w:rsid w:val="00623E08"/>
    <w:rsid w:val="00627601"/>
    <w:rsid w:val="006300D0"/>
    <w:rsid w:val="00632012"/>
    <w:rsid w:val="00634694"/>
    <w:rsid w:val="00635F9D"/>
    <w:rsid w:val="00636517"/>
    <w:rsid w:val="00637690"/>
    <w:rsid w:val="00640E1E"/>
    <w:rsid w:val="006432EF"/>
    <w:rsid w:val="0064389A"/>
    <w:rsid w:val="00645442"/>
    <w:rsid w:val="006525CD"/>
    <w:rsid w:val="00653353"/>
    <w:rsid w:val="00653F7F"/>
    <w:rsid w:val="006557AC"/>
    <w:rsid w:val="00662EE8"/>
    <w:rsid w:val="00663813"/>
    <w:rsid w:val="00663C3B"/>
    <w:rsid w:val="00664AFD"/>
    <w:rsid w:val="00667567"/>
    <w:rsid w:val="0067391A"/>
    <w:rsid w:val="00674173"/>
    <w:rsid w:val="00674602"/>
    <w:rsid w:val="0067535A"/>
    <w:rsid w:val="00677629"/>
    <w:rsid w:val="00683CA0"/>
    <w:rsid w:val="00690DB1"/>
    <w:rsid w:val="00693404"/>
    <w:rsid w:val="006953D9"/>
    <w:rsid w:val="00697FE9"/>
    <w:rsid w:val="006A5FEE"/>
    <w:rsid w:val="006B107F"/>
    <w:rsid w:val="006B1242"/>
    <w:rsid w:val="006B1DBC"/>
    <w:rsid w:val="006B63B7"/>
    <w:rsid w:val="006B7D9A"/>
    <w:rsid w:val="006C06D9"/>
    <w:rsid w:val="006C464F"/>
    <w:rsid w:val="006C5716"/>
    <w:rsid w:val="006C74A9"/>
    <w:rsid w:val="006C7F24"/>
    <w:rsid w:val="006D07DE"/>
    <w:rsid w:val="006D394E"/>
    <w:rsid w:val="006E06D9"/>
    <w:rsid w:val="006E1D40"/>
    <w:rsid w:val="006E2E1F"/>
    <w:rsid w:val="006E32D3"/>
    <w:rsid w:val="006E4BE8"/>
    <w:rsid w:val="006E554F"/>
    <w:rsid w:val="006F0654"/>
    <w:rsid w:val="006F5FFF"/>
    <w:rsid w:val="006F6E33"/>
    <w:rsid w:val="006F7AF3"/>
    <w:rsid w:val="00702CF1"/>
    <w:rsid w:val="00703635"/>
    <w:rsid w:val="007054AA"/>
    <w:rsid w:val="00706D4B"/>
    <w:rsid w:val="00707B8C"/>
    <w:rsid w:val="00710804"/>
    <w:rsid w:val="00711FC6"/>
    <w:rsid w:val="007130B1"/>
    <w:rsid w:val="00715071"/>
    <w:rsid w:val="0072140F"/>
    <w:rsid w:val="007231E9"/>
    <w:rsid w:val="00727C59"/>
    <w:rsid w:val="00733445"/>
    <w:rsid w:val="007346B5"/>
    <w:rsid w:val="00734E5D"/>
    <w:rsid w:val="00735AF1"/>
    <w:rsid w:val="00736013"/>
    <w:rsid w:val="00737661"/>
    <w:rsid w:val="00743433"/>
    <w:rsid w:val="00755D75"/>
    <w:rsid w:val="00756245"/>
    <w:rsid w:val="0076130F"/>
    <w:rsid w:val="00761662"/>
    <w:rsid w:val="00764043"/>
    <w:rsid w:val="00764504"/>
    <w:rsid w:val="007757CF"/>
    <w:rsid w:val="00776FFC"/>
    <w:rsid w:val="0078128F"/>
    <w:rsid w:val="0078683C"/>
    <w:rsid w:val="00790EDB"/>
    <w:rsid w:val="00791538"/>
    <w:rsid w:val="007918F0"/>
    <w:rsid w:val="0079326E"/>
    <w:rsid w:val="00796EDE"/>
    <w:rsid w:val="00797A02"/>
    <w:rsid w:val="007A26F0"/>
    <w:rsid w:val="007A27A9"/>
    <w:rsid w:val="007A5A58"/>
    <w:rsid w:val="007A6740"/>
    <w:rsid w:val="007B1C56"/>
    <w:rsid w:val="007B4996"/>
    <w:rsid w:val="007C3CD5"/>
    <w:rsid w:val="007C61EF"/>
    <w:rsid w:val="007D1C0D"/>
    <w:rsid w:val="007D236F"/>
    <w:rsid w:val="007D2D23"/>
    <w:rsid w:val="007D7644"/>
    <w:rsid w:val="007E27D6"/>
    <w:rsid w:val="007E3921"/>
    <w:rsid w:val="007E5DDE"/>
    <w:rsid w:val="007E6434"/>
    <w:rsid w:val="00801028"/>
    <w:rsid w:val="00802CE2"/>
    <w:rsid w:val="00803793"/>
    <w:rsid w:val="00803E05"/>
    <w:rsid w:val="0080643F"/>
    <w:rsid w:val="00814052"/>
    <w:rsid w:val="008149FD"/>
    <w:rsid w:val="00817A01"/>
    <w:rsid w:val="00821C55"/>
    <w:rsid w:val="00824F21"/>
    <w:rsid w:val="0082500C"/>
    <w:rsid w:val="00825E35"/>
    <w:rsid w:val="008334F8"/>
    <w:rsid w:val="008341AA"/>
    <w:rsid w:val="00835D8E"/>
    <w:rsid w:val="008372F6"/>
    <w:rsid w:val="008377CA"/>
    <w:rsid w:val="00844D03"/>
    <w:rsid w:val="00847B0F"/>
    <w:rsid w:val="00852994"/>
    <w:rsid w:val="00860DEA"/>
    <w:rsid w:val="00863763"/>
    <w:rsid w:val="00873D89"/>
    <w:rsid w:val="00873F84"/>
    <w:rsid w:val="00876659"/>
    <w:rsid w:val="00876677"/>
    <w:rsid w:val="0087734C"/>
    <w:rsid w:val="00882141"/>
    <w:rsid w:val="00887E3B"/>
    <w:rsid w:val="008922A8"/>
    <w:rsid w:val="00895728"/>
    <w:rsid w:val="00895BD5"/>
    <w:rsid w:val="0089742B"/>
    <w:rsid w:val="008A16C4"/>
    <w:rsid w:val="008A34E3"/>
    <w:rsid w:val="008A6FED"/>
    <w:rsid w:val="008B39C5"/>
    <w:rsid w:val="008B51AA"/>
    <w:rsid w:val="008B7932"/>
    <w:rsid w:val="008C4704"/>
    <w:rsid w:val="008C67F2"/>
    <w:rsid w:val="008D064A"/>
    <w:rsid w:val="008D0FDB"/>
    <w:rsid w:val="008D2B0F"/>
    <w:rsid w:val="008D30BC"/>
    <w:rsid w:val="008D4BC4"/>
    <w:rsid w:val="008E449E"/>
    <w:rsid w:val="008E7062"/>
    <w:rsid w:val="008F187F"/>
    <w:rsid w:val="008F3447"/>
    <w:rsid w:val="008F402F"/>
    <w:rsid w:val="008F55FA"/>
    <w:rsid w:val="008F76E8"/>
    <w:rsid w:val="008F7CD0"/>
    <w:rsid w:val="00902902"/>
    <w:rsid w:val="00902A4B"/>
    <w:rsid w:val="009051DC"/>
    <w:rsid w:val="009078A1"/>
    <w:rsid w:val="00911E9C"/>
    <w:rsid w:val="00915083"/>
    <w:rsid w:val="00917405"/>
    <w:rsid w:val="00920035"/>
    <w:rsid w:val="00920F7C"/>
    <w:rsid w:val="00921E42"/>
    <w:rsid w:val="00934CAE"/>
    <w:rsid w:val="0094257D"/>
    <w:rsid w:val="00942F60"/>
    <w:rsid w:val="0095211B"/>
    <w:rsid w:val="0095467C"/>
    <w:rsid w:val="00954A61"/>
    <w:rsid w:val="00955C6F"/>
    <w:rsid w:val="00966C7B"/>
    <w:rsid w:val="009701DC"/>
    <w:rsid w:val="009715D8"/>
    <w:rsid w:val="00980D0D"/>
    <w:rsid w:val="00985C4B"/>
    <w:rsid w:val="00995BF9"/>
    <w:rsid w:val="00997288"/>
    <w:rsid w:val="00997C3C"/>
    <w:rsid w:val="009A0CAF"/>
    <w:rsid w:val="009A1474"/>
    <w:rsid w:val="009A1E12"/>
    <w:rsid w:val="009A2207"/>
    <w:rsid w:val="009A2B28"/>
    <w:rsid w:val="009A5147"/>
    <w:rsid w:val="009A74C4"/>
    <w:rsid w:val="009B02D2"/>
    <w:rsid w:val="009B6C42"/>
    <w:rsid w:val="009D31F7"/>
    <w:rsid w:val="009D32C2"/>
    <w:rsid w:val="009D50DB"/>
    <w:rsid w:val="009E3A0A"/>
    <w:rsid w:val="009E426E"/>
    <w:rsid w:val="009F26D4"/>
    <w:rsid w:val="009F3E91"/>
    <w:rsid w:val="009F6CE7"/>
    <w:rsid w:val="009F7D7D"/>
    <w:rsid w:val="00A01670"/>
    <w:rsid w:val="00A109A9"/>
    <w:rsid w:val="00A124CF"/>
    <w:rsid w:val="00A1499B"/>
    <w:rsid w:val="00A16AE0"/>
    <w:rsid w:val="00A20879"/>
    <w:rsid w:val="00A20AFC"/>
    <w:rsid w:val="00A23E47"/>
    <w:rsid w:val="00A261E0"/>
    <w:rsid w:val="00A266F1"/>
    <w:rsid w:val="00A272C2"/>
    <w:rsid w:val="00A314C2"/>
    <w:rsid w:val="00A43B9C"/>
    <w:rsid w:val="00A53155"/>
    <w:rsid w:val="00A56FFA"/>
    <w:rsid w:val="00A63E86"/>
    <w:rsid w:val="00A65A1C"/>
    <w:rsid w:val="00A757C3"/>
    <w:rsid w:val="00A75E5B"/>
    <w:rsid w:val="00A7684A"/>
    <w:rsid w:val="00A82AED"/>
    <w:rsid w:val="00A83B69"/>
    <w:rsid w:val="00A86533"/>
    <w:rsid w:val="00A91176"/>
    <w:rsid w:val="00A9176A"/>
    <w:rsid w:val="00A91CA2"/>
    <w:rsid w:val="00A92FB8"/>
    <w:rsid w:val="00A948F1"/>
    <w:rsid w:val="00AA1D7D"/>
    <w:rsid w:val="00AA7525"/>
    <w:rsid w:val="00AB0EA9"/>
    <w:rsid w:val="00AB139D"/>
    <w:rsid w:val="00AB2C46"/>
    <w:rsid w:val="00AB3EFB"/>
    <w:rsid w:val="00AB5EF7"/>
    <w:rsid w:val="00AC0B05"/>
    <w:rsid w:val="00AC763F"/>
    <w:rsid w:val="00AD079A"/>
    <w:rsid w:val="00AD1890"/>
    <w:rsid w:val="00AE0044"/>
    <w:rsid w:val="00AE2149"/>
    <w:rsid w:val="00AE33AE"/>
    <w:rsid w:val="00AE3785"/>
    <w:rsid w:val="00AE3F91"/>
    <w:rsid w:val="00AE452F"/>
    <w:rsid w:val="00AE76E6"/>
    <w:rsid w:val="00B00ACC"/>
    <w:rsid w:val="00B01B57"/>
    <w:rsid w:val="00B039E3"/>
    <w:rsid w:val="00B043C1"/>
    <w:rsid w:val="00B22838"/>
    <w:rsid w:val="00B254D4"/>
    <w:rsid w:val="00B269F0"/>
    <w:rsid w:val="00B27D52"/>
    <w:rsid w:val="00B32BC1"/>
    <w:rsid w:val="00B33E95"/>
    <w:rsid w:val="00B34EE1"/>
    <w:rsid w:val="00B35B5E"/>
    <w:rsid w:val="00B3720B"/>
    <w:rsid w:val="00B40EE3"/>
    <w:rsid w:val="00B4535A"/>
    <w:rsid w:val="00B54299"/>
    <w:rsid w:val="00B55271"/>
    <w:rsid w:val="00B5558A"/>
    <w:rsid w:val="00B56513"/>
    <w:rsid w:val="00B56B2E"/>
    <w:rsid w:val="00B64376"/>
    <w:rsid w:val="00B71533"/>
    <w:rsid w:val="00B7401F"/>
    <w:rsid w:val="00B806C3"/>
    <w:rsid w:val="00B838F5"/>
    <w:rsid w:val="00B84FCA"/>
    <w:rsid w:val="00B9089F"/>
    <w:rsid w:val="00B91AEE"/>
    <w:rsid w:val="00B94F71"/>
    <w:rsid w:val="00B95CDD"/>
    <w:rsid w:val="00B95F5A"/>
    <w:rsid w:val="00B96EAD"/>
    <w:rsid w:val="00BA22AF"/>
    <w:rsid w:val="00BA4B42"/>
    <w:rsid w:val="00BA79F5"/>
    <w:rsid w:val="00BB02E8"/>
    <w:rsid w:val="00BB3AB6"/>
    <w:rsid w:val="00BB55ED"/>
    <w:rsid w:val="00BB7521"/>
    <w:rsid w:val="00BB766D"/>
    <w:rsid w:val="00BC007B"/>
    <w:rsid w:val="00BC15E7"/>
    <w:rsid w:val="00BC26BA"/>
    <w:rsid w:val="00BC35F8"/>
    <w:rsid w:val="00BC49BF"/>
    <w:rsid w:val="00BC5043"/>
    <w:rsid w:val="00BC7140"/>
    <w:rsid w:val="00BD1B89"/>
    <w:rsid w:val="00BD3944"/>
    <w:rsid w:val="00BF376F"/>
    <w:rsid w:val="00BF3D82"/>
    <w:rsid w:val="00BF46A5"/>
    <w:rsid w:val="00BF46A6"/>
    <w:rsid w:val="00BF62CF"/>
    <w:rsid w:val="00BF6B98"/>
    <w:rsid w:val="00BF73D6"/>
    <w:rsid w:val="00C06545"/>
    <w:rsid w:val="00C07651"/>
    <w:rsid w:val="00C1161C"/>
    <w:rsid w:val="00C17F66"/>
    <w:rsid w:val="00C220FC"/>
    <w:rsid w:val="00C23C86"/>
    <w:rsid w:val="00C24DFA"/>
    <w:rsid w:val="00C35561"/>
    <w:rsid w:val="00C360AA"/>
    <w:rsid w:val="00C4202A"/>
    <w:rsid w:val="00C4211F"/>
    <w:rsid w:val="00C46A36"/>
    <w:rsid w:val="00C47037"/>
    <w:rsid w:val="00C51ABE"/>
    <w:rsid w:val="00C53625"/>
    <w:rsid w:val="00C602C1"/>
    <w:rsid w:val="00C61C98"/>
    <w:rsid w:val="00C63FC0"/>
    <w:rsid w:val="00C66392"/>
    <w:rsid w:val="00C74C5E"/>
    <w:rsid w:val="00C77487"/>
    <w:rsid w:val="00C827A2"/>
    <w:rsid w:val="00C82B69"/>
    <w:rsid w:val="00C85394"/>
    <w:rsid w:val="00C8657D"/>
    <w:rsid w:val="00C91B28"/>
    <w:rsid w:val="00C91F3A"/>
    <w:rsid w:val="00C94A6F"/>
    <w:rsid w:val="00CA06E3"/>
    <w:rsid w:val="00CB328B"/>
    <w:rsid w:val="00CB5797"/>
    <w:rsid w:val="00CB6050"/>
    <w:rsid w:val="00CC11FE"/>
    <w:rsid w:val="00CC1202"/>
    <w:rsid w:val="00CC4099"/>
    <w:rsid w:val="00CC45C1"/>
    <w:rsid w:val="00CC626B"/>
    <w:rsid w:val="00CD09E1"/>
    <w:rsid w:val="00CD249A"/>
    <w:rsid w:val="00CD5078"/>
    <w:rsid w:val="00CD6202"/>
    <w:rsid w:val="00CE2486"/>
    <w:rsid w:val="00CE4913"/>
    <w:rsid w:val="00CE66BD"/>
    <w:rsid w:val="00CF0671"/>
    <w:rsid w:val="00CF2C3A"/>
    <w:rsid w:val="00CF44AD"/>
    <w:rsid w:val="00CF4FC0"/>
    <w:rsid w:val="00CF7642"/>
    <w:rsid w:val="00D0264C"/>
    <w:rsid w:val="00D03909"/>
    <w:rsid w:val="00D1072F"/>
    <w:rsid w:val="00D108A5"/>
    <w:rsid w:val="00D111B4"/>
    <w:rsid w:val="00D14585"/>
    <w:rsid w:val="00D20EFF"/>
    <w:rsid w:val="00D30F1B"/>
    <w:rsid w:val="00D30FC0"/>
    <w:rsid w:val="00D3171A"/>
    <w:rsid w:val="00D34F0D"/>
    <w:rsid w:val="00D3516E"/>
    <w:rsid w:val="00D4064C"/>
    <w:rsid w:val="00D47F9F"/>
    <w:rsid w:val="00D53ED8"/>
    <w:rsid w:val="00D5466A"/>
    <w:rsid w:val="00D56380"/>
    <w:rsid w:val="00D56A47"/>
    <w:rsid w:val="00D620E9"/>
    <w:rsid w:val="00D64857"/>
    <w:rsid w:val="00D6493A"/>
    <w:rsid w:val="00D64EE2"/>
    <w:rsid w:val="00D67875"/>
    <w:rsid w:val="00D71CBD"/>
    <w:rsid w:val="00D71E86"/>
    <w:rsid w:val="00D731C6"/>
    <w:rsid w:val="00D745C5"/>
    <w:rsid w:val="00D75327"/>
    <w:rsid w:val="00D76473"/>
    <w:rsid w:val="00D80C36"/>
    <w:rsid w:val="00D86779"/>
    <w:rsid w:val="00D86B96"/>
    <w:rsid w:val="00D86EE1"/>
    <w:rsid w:val="00D9120E"/>
    <w:rsid w:val="00D913B1"/>
    <w:rsid w:val="00D93793"/>
    <w:rsid w:val="00D952DB"/>
    <w:rsid w:val="00D96126"/>
    <w:rsid w:val="00DA43F0"/>
    <w:rsid w:val="00DB4B1C"/>
    <w:rsid w:val="00DB5069"/>
    <w:rsid w:val="00DB5085"/>
    <w:rsid w:val="00DB7706"/>
    <w:rsid w:val="00DC1062"/>
    <w:rsid w:val="00DC132C"/>
    <w:rsid w:val="00DC2322"/>
    <w:rsid w:val="00DC774B"/>
    <w:rsid w:val="00DD3D5A"/>
    <w:rsid w:val="00DD43F0"/>
    <w:rsid w:val="00DD44DE"/>
    <w:rsid w:val="00DE09AB"/>
    <w:rsid w:val="00DE4A3F"/>
    <w:rsid w:val="00DE4E53"/>
    <w:rsid w:val="00DE7AE9"/>
    <w:rsid w:val="00DF4367"/>
    <w:rsid w:val="00E0574A"/>
    <w:rsid w:val="00E07650"/>
    <w:rsid w:val="00E1243D"/>
    <w:rsid w:val="00E12742"/>
    <w:rsid w:val="00E12E4A"/>
    <w:rsid w:val="00E146D4"/>
    <w:rsid w:val="00E20976"/>
    <w:rsid w:val="00E22079"/>
    <w:rsid w:val="00E22B44"/>
    <w:rsid w:val="00E236D8"/>
    <w:rsid w:val="00E30ACD"/>
    <w:rsid w:val="00E3184B"/>
    <w:rsid w:val="00E32735"/>
    <w:rsid w:val="00E4388C"/>
    <w:rsid w:val="00E5391D"/>
    <w:rsid w:val="00E53E7E"/>
    <w:rsid w:val="00E544E5"/>
    <w:rsid w:val="00E66622"/>
    <w:rsid w:val="00E66E36"/>
    <w:rsid w:val="00E6781E"/>
    <w:rsid w:val="00E702ED"/>
    <w:rsid w:val="00E705CC"/>
    <w:rsid w:val="00E709A4"/>
    <w:rsid w:val="00E73822"/>
    <w:rsid w:val="00E772DB"/>
    <w:rsid w:val="00E86012"/>
    <w:rsid w:val="00E86BAB"/>
    <w:rsid w:val="00E901A1"/>
    <w:rsid w:val="00E94E10"/>
    <w:rsid w:val="00E954BD"/>
    <w:rsid w:val="00E96743"/>
    <w:rsid w:val="00E96A42"/>
    <w:rsid w:val="00EA0A36"/>
    <w:rsid w:val="00EA49C5"/>
    <w:rsid w:val="00EB1C1C"/>
    <w:rsid w:val="00EB5027"/>
    <w:rsid w:val="00EC1836"/>
    <w:rsid w:val="00EC3990"/>
    <w:rsid w:val="00EC484B"/>
    <w:rsid w:val="00EC61DE"/>
    <w:rsid w:val="00ED15FA"/>
    <w:rsid w:val="00ED1E00"/>
    <w:rsid w:val="00EE16E1"/>
    <w:rsid w:val="00EE228F"/>
    <w:rsid w:val="00EE238D"/>
    <w:rsid w:val="00EE6E9A"/>
    <w:rsid w:val="00EF0BF1"/>
    <w:rsid w:val="00EF27DA"/>
    <w:rsid w:val="00EF2AC4"/>
    <w:rsid w:val="00EF397E"/>
    <w:rsid w:val="00F06F68"/>
    <w:rsid w:val="00F1332D"/>
    <w:rsid w:val="00F1534B"/>
    <w:rsid w:val="00F15FB2"/>
    <w:rsid w:val="00F1713B"/>
    <w:rsid w:val="00F212CB"/>
    <w:rsid w:val="00F23C7D"/>
    <w:rsid w:val="00F243DB"/>
    <w:rsid w:val="00F24C2D"/>
    <w:rsid w:val="00F24F1B"/>
    <w:rsid w:val="00F27356"/>
    <w:rsid w:val="00F32A81"/>
    <w:rsid w:val="00F46998"/>
    <w:rsid w:val="00F47100"/>
    <w:rsid w:val="00F516DD"/>
    <w:rsid w:val="00F5382D"/>
    <w:rsid w:val="00F53D9C"/>
    <w:rsid w:val="00F5462B"/>
    <w:rsid w:val="00F6031F"/>
    <w:rsid w:val="00F634AD"/>
    <w:rsid w:val="00F63677"/>
    <w:rsid w:val="00F63ABE"/>
    <w:rsid w:val="00F72EF1"/>
    <w:rsid w:val="00F75B81"/>
    <w:rsid w:val="00F804C4"/>
    <w:rsid w:val="00F8062A"/>
    <w:rsid w:val="00F82F83"/>
    <w:rsid w:val="00F832E5"/>
    <w:rsid w:val="00F86317"/>
    <w:rsid w:val="00F90F40"/>
    <w:rsid w:val="00F92B30"/>
    <w:rsid w:val="00F933B9"/>
    <w:rsid w:val="00F941D6"/>
    <w:rsid w:val="00F94674"/>
    <w:rsid w:val="00F94919"/>
    <w:rsid w:val="00F94A59"/>
    <w:rsid w:val="00F96E42"/>
    <w:rsid w:val="00F975EA"/>
    <w:rsid w:val="00FA25B6"/>
    <w:rsid w:val="00FA2FAF"/>
    <w:rsid w:val="00FA5CCF"/>
    <w:rsid w:val="00FA64B1"/>
    <w:rsid w:val="00FA70F3"/>
    <w:rsid w:val="00FA71CD"/>
    <w:rsid w:val="00FB0453"/>
    <w:rsid w:val="00FB0C07"/>
    <w:rsid w:val="00FB298D"/>
    <w:rsid w:val="00FC1439"/>
    <w:rsid w:val="00FC58BE"/>
    <w:rsid w:val="00FC7225"/>
    <w:rsid w:val="00FC724B"/>
    <w:rsid w:val="00FC767C"/>
    <w:rsid w:val="00FC7910"/>
    <w:rsid w:val="00FD0834"/>
    <w:rsid w:val="00FD6EA4"/>
    <w:rsid w:val="00FE13AD"/>
    <w:rsid w:val="00FE348D"/>
    <w:rsid w:val="00FE51C8"/>
    <w:rsid w:val="00FE53B6"/>
    <w:rsid w:val="00FE72A6"/>
    <w:rsid w:val="00FF0ABF"/>
    <w:rsid w:val="00FF0DA7"/>
    <w:rsid w:val="00FF3C7E"/>
    <w:rsid w:val="00FF44E0"/>
    <w:rsid w:val="00FF4CB6"/>
    <w:rsid w:val="00FF5834"/>
    <w:rsid w:val="00FF6C72"/>
    <w:rsid w:val="01004084"/>
    <w:rsid w:val="012807F8"/>
    <w:rsid w:val="014F219D"/>
    <w:rsid w:val="017B1BF9"/>
    <w:rsid w:val="019F5A3A"/>
    <w:rsid w:val="01D90DFB"/>
    <w:rsid w:val="01E93A1B"/>
    <w:rsid w:val="0214602E"/>
    <w:rsid w:val="021A09FD"/>
    <w:rsid w:val="02E1776D"/>
    <w:rsid w:val="02E37041"/>
    <w:rsid w:val="03451AAA"/>
    <w:rsid w:val="03486B27"/>
    <w:rsid w:val="03980710"/>
    <w:rsid w:val="03A65D25"/>
    <w:rsid w:val="03B510E0"/>
    <w:rsid w:val="040A094E"/>
    <w:rsid w:val="045C67C3"/>
    <w:rsid w:val="047800D0"/>
    <w:rsid w:val="04A258FF"/>
    <w:rsid w:val="04BA38D0"/>
    <w:rsid w:val="04EB042F"/>
    <w:rsid w:val="050B0AD1"/>
    <w:rsid w:val="056F201D"/>
    <w:rsid w:val="057E3832"/>
    <w:rsid w:val="0580501B"/>
    <w:rsid w:val="05B664D4"/>
    <w:rsid w:val="062D05D7"/>
    <w:rsid w:val="064B485A"/>
    <w:rsid w:val="068C65C4"/>
    <w:rsid w:val="07076C01"/>
    <w:rsid w:val="07101B05"/>
    <w:rsid w:val="071C12AC"/>
    <w:rsid w:val="071F2612"/>
    <w:rsid w:val="072E0AA7"/>
    <w:rsid w:val="07A934B3"/>
    <w:rsid w:val="07CC1E55"/>
    <w:rsid w:val="07EB6287"/>
    <w:rsid w:val="07F95559"/>
    <w:rsid w:val="0806421B"/>
    <w:rsid w:val="084127BF"/>
    <w:rsid w:val="08AA59B2"/>
    <w:rsid w:val="08FE1487"/>
    <w:rsid w:val="091C48B6"/>
    <w:rsid w:val="092D57BA"/>
    <w:rsid w:val="095C56AA"/>
    <w:rsid w:val="0980799C"/>
    <w:rsid w:val="098D6125"/>
    <w:rsid w:val="09944B8E"/>
    <w:rsid w:val="0A27015B"/>
    <w:rsid w:val="0A613B29"/>
    <w:rsid w:val="0A6A18DB"/>
    <w:rsid w:val="0A975B48"/>
    <w:rsid w:val="0AA23C86"/>
    <w:rsid w:val="0AA51080"/>
    <w:rsid w:val="0AEF3828"/>
    <w:rsid w:val="0AFA5870"/>
    <w:rsid w:val="0B406381"/>
    <w:rsid w:val="0B6947A3"/>
    <w:rsid w:val="0BB452AA"/>
    <w:rsid w:val="0BBB665B"/>
    <w:rsid w:val="0C1E733C"/>
    <w:rsid w:val="0C6A07D3"/>
    <w:rsid w:val="0C874EE1"/>
    <w:rsid w:val="0D11434B"/>
    <w:rsid w:val="0D2546FA"/>
    <w:rsid w:val="0D817B82"/>
    <w:rsid w:val="0DDB0953"/>
    <w:rsid w:val="0E127789"/>
    <w:rsid w:val="0E1924B1"/>
    <w:rsid w:val="0EEA6FC1"/>
    <w:rsid w:val="0F61449D"/>
    <w:rsid w:val="0F790928"/>
    <w:rsid w:val="0FB6788B"/>
    <w:rsid w:val="109D458B"/>
    <w:rsid w:val="10CD72BB"/>
    <w:rsid w:val="10DF4FC4"/>
    <w:rsid w:val="11274EE5"/>
    <w:rsid w:val="118539F8"/>
    <w:rsid w:val="119360D6"/>
    <w:rsid w:val="11E46932"/>
    <w:rsid w:val="120F7ADB"/>
    <w:rsid w:val="12197477"/>
    <w:rsid w:val="12DE5A77"/>
    <w:rsid w:val="131B5CD3"/>
    <w:rsid w:val="13776448"/>
    <w:rsid w:val="13FB7F63"/>
    <w:rsid w:val="1466407E"/>
    <w:rsid w:val="14834E28"/>
    <w:rsid w:val="148E7D65"/>
    <w:rsid w:val="15231BF9"/>
    <w:rsid w:val="15684951"/>
    <w:rsid w:val="156F29F0"/>
    <w:rsid w:val="15BC35D5"/>
    <w:rsid w:val="15C4546D"/>
    <w:rsid w:val="15D752C3"/>
    <w:rsid w:val="167F4E7B"/>
    <w:rsid w:val="16976668"/>
    <w:rsid w:val="16C02B0B"/>
    <w:rsid w:val="16C42032"/>
    <w:rsid w:val="173619DD"/>
    <w:rsid w:val="17537DC3"/>
    <w:rsid w:val="17646CBD"/>
    <w:rsid w:val="184243B2"/>
    <w:rsid w:val="1843750D"/>
    <w:rsid w:val="18707171"/>
    <w:rsid w:val="188A386F"/>
    <w:rsid w:val="18BA420C"/>
    <w:rsid w:val="190855FC"/>
    <w:rsid w:val="1A064976"/>
    <w:rsid w:val="1A385A6D"/>
    <w:rsid w:val="1A3B68AA"/>
    <w:rsid w:val="1A3E1C1E"/>
    <w:rsid w:val="1AC675D8"/>
    <w:rsid w:val="1AC82188"/>
    <w:rsid w:val="1AEA1DAD"/>
    <w:rsid w:val="1B0576A7"/>
    <w:rsid w:val="1B6F4F40"/>
    <w:rsid w:val="1B7E7DF7"/>
    <w:rsid w:val="1C0320AA"/>
    <w:rsid w:val="1C0A6137"/>
    <w:rsid w:val="1C141836"/>
    <w:rsid w:val="1C61021D"/>
    <w:rsid w:val="1C623275"/>
    <w:rsid w:val="1C683D33"/>
    <w:rsid w:val="1C76537D"/>
    <w:rsid w:val="1CDC4DD5"/>
    <w:rsid w:val="1CDE57E7"/>
    <w:rsid w:val="1D2616DA"/>
    <w:rsid w:val="1D3E53D5"/>
    <w:rsid w:val="1D436C02"/>
    <w:rsid w:val="1DCF4116"/>
    <w:rsid w:val="1E3649B9"/>
    <w:rsid w:val="1E6B6A14"/>
    <w:rsid w:val="1E7828DC"/>
    <w:rsid w:val="1E8429D3"/>
    <w:rsid w:val="1EA16890"/>
    <w:rsid w:val="1F2C1918"/>
    <w:rsid w:val="1F550E6F"/>
    <w:rsid w:val="1F665CA1"/>
    <w:rsid w:val="20550D9A"/>
    <w:rsid w:val="209A7978"/>
    <w:rsid w:val="20F5133E"/>
    <w:rsid w:val="218E2416"/>
    <w:rsid w:val="21B2144D"/>
    <w:rsid w:val="21BE2CFB"/>
    <w:rsid w:val="21FA5EC1"/>
    <w:rsid w:val="221C1B78"/>
    <w:rsid w:val="221E7C3E"/>
    <w:rsid w:val="22561186"/>
    <w:rsid w:val="226915FE"/>
    <w:rsid w:val="22CF1D97"/>
    <w:rsid w:val="23CF7117"/>
    <w:rsid w:val="241804A5"/>
    <w:rsid w:val="24725872"/>
    <w:rsid w:val="24885842"/>
    <w:rsid w:val="249C309C"/>
    <w:rsid w:val="249E5066"/>
    <w:rsid w:val="24A26A06"/>
    <w:rsid w:val="24B97929"/>
    <w:rsid w:val="24D632D7"/>
    <w:rsid w:val="24F3738E"/>
    <w:rsid w:val="250D7AF6"/>
    <w:rsid w:val="25137802"/>
    <w:rsid w:val="25717D1C"/>
    <w:rsid w:val="25B85CB3"/>
    <w:rsid w:val="25BA5ED0"/>
    <w:rsid w:val="25CA1E4D"/>
    <w:rsid w:val="25E116AE"/>
    <w:rsid w:val="261E2712"/>
    <w:rsid w:val="264A387A"/>
    <w:rsid w:val="26955FF5"/>
    <w:rsid w:val="27706F5D"/>
    <w:rsid w:val="279E7F03"/>
    <w:rsid w:val="27A539D0"/>
    <w:rsid w:val="27BD1CA7"/>
    <w:rsid w:val="27C272BD"/>
    <w:rsid w:val="27D65DBA"/>
    <w:rsid w:val="27F96F87"/>
    <w:rsid w:val="28425D08"/>
    <w:rsid w:val="285F40CA"/>
    <w:rsid w:val="28787DD1"/>
    <w:rsid w:val="28884B08"/>
    <w:rsid w:val="289E1AF0"/>
    <w:rsid w:val="28C01ECB"/>
    <w:rsid w:val="290E35DD"/>
    <w:rsid w:val="297A3AE1"/>
    <w:rsid w:val="29BF71E3"/>
    <w:rsid w:val="29CA1D25"/>
    <w:rsid w:val="29D6387F"/>
    <w:rsid w:val="29DC556C"/>
    <w:rsid w:val="29E61678"/>
    <w:rsid w:val="2A127B63"/>
    <w:rsid w:val="2A451A6C"/>
    <w:rsid w:val="2A832EC5"/>
    <w:rsid w:val="2A8B5678"/>
    <w:rsid w:val="2A9431F0"/>
    <w:rsid w:val="2A954815"/>
    <w:rsid w:val="2AAA4765"/>
    <w:rsid w:val="2AC21606"/>
    <w:rsid w:val="2AD90BA6"/>
    <w:rsid w:val="2B0A11CD"/>
    <w:rsid w:val="2B632B65"/>
    <w:rsid w:val="2B7E7608"/>
    <w:rsid w:val="2B7F04E9"/>
    <w:rsid w:val="2B8B554A"/>
    <w:rsid w:val="2BA17E56"/>
    <w:rsid w:val="2BC453B2"/>
    <w:rsid w:val="2C0E7A44"/>
    <w:rsid w:val="2D496D68"/>
    <w:rsid w:val="2D872B3B"/>
    <w:rsid w:val="2DBE4083"/>
    <w:rsid w:val="2DFE26D1"/>
    <w:rsid w:val="2E0A1DB4"/>
    <w:rsid w:val="2E1020E8"/>
    <w:rsid w:val="2E7A48DE"/>
    <w:rsid w:val="2EBA5177"/>
    <w:rsid w:val="2ED33B5E"/>
    <w:rsid w:val="2EDC3ED8"/>
    <w:rsid w:val="2F0B779C"/>
    <w:rsid w:val="2F104831"/>
    <w:rsid w:val="2F104B00"/>
    <w:rsid w:val="2F35161A"/>
    <w:rsid w:val="2F6351B4"/>
    <w:rsid w:val="2FC86126"/>
    <w:rsid w:val="2FCF199E"/>
    <w:rsid w:val="2FEF6776"/>
    <w:rsid w:val="30483E83"/>
    <w:rsid w:val="30BF3991"/>
    <w:rsid w:val="30E038CF"/>
    <w:rsid w:val="3111619A"/>
    <w:rsid w:val="313C1E8F"/>
    <w:rsid w:val="31B139DC"/>
    <w:rsid w:val="31DB7205"/>
    <w:rsid w:val="31E00548"/>
    <w:rsid w:val="31EC034F"/>
    <w:rsid w:val="32181796"/>
    <w:rsid w:val="32497AF3"/>
    <w:rsid w:val="32782A5B"/>
    <w:rsid w:val="32FA5B5D"/>
    <w:rsid w:val="33096CA6"/>
    <w:rsid w:val="330C57EE"/>
    <w:rsid w:val="33235945"/>
    <w:rsid w:val="332826CA"/>
    <w:rsid w:val="340628FA"/>
    <w:rsid w:val="341C6C43"/>
    <w:rsid w:val="343C0775"/>
    <w:rsid w:val="34B919A9"/>
    <w:rsid w:val="35171256"/>
    <w:rsid w:val="353A0493"/>
    <w:rsid w:val="35645510"/>
    <w:rsid w:val="356C50EC"/>
    <w:rsid w:val="360F36CE"/>
    <w:rsid w:val="36137E45"/>
    <w:rsid w:val="362A5FE2"/>
    <w:rsid w:val="36376E0A"/>
    <w:rsid w:val="36AF6C5F"/>
    <w:rsid w:val="36EA7C97"/>
    <w:rsid w:val="3700166C"/>
    <w:rsid w:val="379A1012"/>
    <w:rsid w:val="37E40F27"/>
    <w:rsid w:val="37EE37B7"/>
    <w:rsid w:val="38694EE9"/>
    <w:rsid w:val="38EA6674"/>
    <w:rsid w:val="39561EE2"/>
    <w:rsid w:val="395E6FAD"/>
    <w:rsid w:val="39C26CA9"/>
    <w:rsid w:val="39C52349"/>
    <w:rsid w:val="3A0B68A2"/>
    <w:rsid w:val="3A612966"/>
    <w:rsid w:val="3A6818FA"/>
    <w:rsid w:val="3ABC4F58"/>
    <w:rsid w:val="3B171B9C"/>
    <w:rsid w:val="3B365CC9"/>
    <w:rsid w:val="3B9A7B88"/>
    <w:rsid w:val="3C4B567C"/>
    <w:rsid w:val="3D1141CF"/>
    <w:rsid w:val="3D2C7AC8"/>
    <w:rsid w:val="3D855D12"/>
    <w:rsid w:val="3D8B42FF"/>
    <w:rsid w:val="3DE86C4C"/>
    <w:rsid w:val="3DF36A6E"/>
    <w:rsid w:val="3EBA1EE9"/>
    <w:rsid w:val="3EEF6792"/>
    <w:rsid w:val="3F792F1E"/>
    <w:rsid w:val="40824826"/>
    <w:rsid w:val="40AE063E"/>
    <w:rsid w:val="40C8541A"/>
    <w:rsid w:val="40E63923"/>
    <w:rsid w:val="40FC2486"/>
    <w:rsid w:val="423C1CEE"/>
    <w:rsid w:val="4309709E"/>
    <w:rsid w:val="43291309"/>
    <w:rsid w:val="43370708"/>
    <w:rsid w:val="434F111A"/>
    <w:rsid w:val="43A91E5B"/>
    <w:rsid w:val="43AC6A00"/>
    <w:rsid w:val="43B24586"/>
    <w:rsid w:val="445A46AE"/>
    <w:rsid w:val="447575DA"/>
    <w:rsid w:val="449E0D39"/>
    <w:rsid w:val="45812442"/>
    <w:rsid w:val="459D6A7C"/>
    <w:rsid w:val="45E32B26"/>
    <w:rsid w:val="463A3650"/>
    <w:rsid w:val="46461627"/>
    <w:rsid w:val="469F0116"/>
    <w:rsid w:val="472603AD"/>
    <w:rsid w:val="47347C1D"/>
    <w:rsid w:val="475259B7"/>
    <w:rsid w:val="47A74339"/>
    <w:rsid w:val="47C00975"/>
    <w:rsid w:val="47F1579B"/>
    <w:rsid w:val="481607C6"/>
    <w:rsid w:val="48606F05"/>
    <w:rsid w:val="488302AE"/>
    <w:rsid w:val="48831CF9"/>
    <w:rsid w:val="48A05D81"/>
    <w:rsid w:val="48B819A3"/>
    <w:rsid w:val="48EB5918"/>
    <w:rsid w:val="49024C9C"/>
    <w:rsid w:val="490E1F0B"/>
    <w:rsid w:val="49690EEF"/>
    <w:rsid w:val="49B1408D"/>
    <w:rsid w:val="49E75CD0"/>
    <w:rsid w:val="4A706397"/>
    <w:rsid w:val="4A7D4FD2"/>
    <w:rsid w:val="4A896855"/>
    <w:rsid w:val="4A913C9A"/>
    <w:rsid w:val="4AAC19DB"/>
    <w:rsid w:val="4ACC1456"/>
    <w:rsid w:val="4B1F70AC"/>
    <w:rsid w:val="4B240F94"/>
    <w:rsid w:val="4B3F63AB"/>
    <w:rsid w:val="4B5300A9"/>
    <w:rsid w:val="4BB77ECD"/>
    <w:rsid w:val="4BEF1B65"/>
    <w:rsid w:val="4C027114"/>
    <w:rsid w:val="4C0832E5"/>
    <w:rsid w:val="4C3C565C"/>
    <w:rsid w:val="4C8A18A8"/>
    <w:rsid w:val="4CCC79C7"/>
    <w:rsid w:val="4D072EF9"/>
    <w:rsid w:val="4D7555C7"/>
    <w:rsid w:val="4DCB4E5A"/>
    <w:rsid w:val="4DF42728"/>
    <w:rsid w:val="4E223347"/>
    <w:rsid w:val="4E465CA3"/>
    <w:rsid w:val="4EAE6DA0"/>
    <w:rsid w:val="4F253B0A"/>
    <w:rsid w:val="4F920181"/>
    <w:rsid w:val="4F996CEF"/>
    <w:rsid w:val="4FE617D9"/>
    <w:rsid w:val="5016514B"/>
    <w:rsid w:val="50B9275C"/>
    <w:rsid w:val="50BD4DF3"/>
    <w:rsid w:val="50FC1A26"/>
    <w:rsid w:val="51723664"/>
    <w:rsid w:val="517D5E7F"/>
    <w:rsid w:val="51850890"/>
    <w:rsid w:val="51A82C77"/>
    <w:rsid w:val="51CB1C78"/>
    <w:rsid w:val="51E368DC"/>
    <w:rsid w:val="51EA3CB4"/>
    <w:rsid w:val="51F21DD1"/>
    <w:rsid w:val="51FD6A51"/>
    <w:rsid w:val="52150021"/>
    <w:rsid w:val="5221335A"/>
    <w:rsid w:val="523E73BD"/>
    <w:rsid w:val="526B680A"/>
    <w:rsid w:val="52756B57"/>
    <w:rsid w:val="52836F71"/>
    <w:rsid w:val="52D26B02"/>
    <w:rsid w:val="52D41E90"/>
    <w:rsid w:val="52DD0406"/>
    <w:rsid w:val="53BF62DB"/>
    <w:rsid w:val="541A5D30"/>
    <w:rsid w:val="543D1818"/>
    <w:rsid w:val="54554E92"/>
    <w:rsid w:val="54A15CCB"/>
    <w:rsid w:val="556A671B"/>
    <w:rsid w:val="55747599"/>
    <w:rsid w:val="55AA2FBB"/>
    <w:rsid w:val="55C1559C"/>
    <w:rsid w:val="55E26FF6"/>
    <w:rsid w:val="55F068CD"/>
    <w:rsid w:val="566C3136"/>
    <w:rsid w:val="568D04F2"/>
    <w:rsid w:val="573C5F32"/>
    <w:rsid w:val="576B22D6"/>
    <w:rsid w:val="576F1096"/>
    <w:rsid w:val="57A75A04"/>
    <w:rsid w:val="57D61871"/>
    <w:rsid w:val="57F64296"/>
    <w:rsid w:val="582708F3"/>
    <w:rsid w:val="58801DB1"/>
    <w:rsid w:val="58BD6B62"/>
    <w:rsid w:val="58E14F46"/>
    <w:rsid w:val="58F6484E"/>
    <w:rsid w:val="59837DAB"/>
    <w:rsid w:val="59DA0063"/>
    <w:rsid w:val="5A1629CD"/>
    <w:rsid w:val="5A1B4488"/>
    <w:rsid w:val="5A526582"/>
    <w:rsid w:val="5A5F5C77"/>
    <w:rsid w:val="5A711A0D"/>
    <w:rsid w:val="5A771BE5"/>
    <w:rsid w:val="5B1613E4"/>
    <w:rsid w:val="5B78003B"/>
    <w:rsid w:val="5BAA6390"/>
    <w:rsid w:val="5BC11A60"/>
    <w:rsid w:val="5C7A4D54"/>
    <w:rsid w:val="5CD23B73"/>
    <w:rsid w:val="5D121B72"/>
    <w:rsid w:val="5D3E2967"/>
    <w:rsid w:val="5D5C1168"/>
    <w:rsid w:val="5DA56542"/>
    <w:rsid w:val="5DB23D55"/>
    <w:rsid w:val="5DD07C35"/>
    <w:rsid w:val="5DEF5A0F"/>
    <w:rsid w:val="5E993BCD"/>
    <w:rsid w:val="5EE4309A"/>
    <w:rsid w:val="5F127819"/>
    <w:rsid w:val="5F183AB6"/>
    <w:rsid w:val="5F2636B2"/>
    <w:rsid w:val="5F883ACE"/>
    <w:rsid w:val="5FA173F1"/>
    <w:rsid w:val="60350ED3"/>
    <w:rsid w:val="60687CFB"/>
    <w:rsid w:val="607448F1"/>
    <w:rsid w:val="60B72AEE"/>
    <w:rsid w:val="60C1519C"/>
    <w:rsid w:val="61025188"/>
    <w:rsid w:val="61057D5F"/>
    <w:rsid w:val="61151C31"/>
    <w:rsid w:val="614D4977"/>
    <w:rsid w:val="61C4414A"/>
    <w:rsid w:val="61C471B3"/>
    <w:rsid w:val="61E57855"/>
    <w:rsid w:val="620206D9"/>
    <w:rsid w:val="625844A2"/>
    <w:rsid w:val="627477E0"/>
    <w:rsid w:val="62AA446C"/>
    <w:rsid w:val="62C751AC"/>
    <w:rsid w:val="630A5C98"/>
    <w:rsid w:val="637075F2"/>
    <w:rsid w:val="63C60FC0"/>
    <w:rsid w:val="6421269A"/>
    <w:rsid w:val="646A1B7C"/>
    <w:rsid w:val="64A70DF2"/>
    <w:rsid w:val="64BA3D7A"/>
    <w:rsid w:val="64F179BC"/>
    <w:rsid w:val="65080EDB"/>
    <w:rsid w:val="652406AA"/>
    <w:rsid w:val="652E1513"/>
    <w:rsid w:val="65D73958"/>
    <w:rsid w:val="662B7800"/>
    <w:rsid w:val="665704D3"/>
    <w:rsid w:val="66884C53"/>
    <w:rsid w:val="67C065A4"/>
    <w:rsid w:val="67D359C9"/>
    <w:rsid w:val="68042537"/>
    <w:rsid w:val="683E7CBF"/>
    <w:rsid w:val="686F5A3D"/>
    <w:rsid w:val="689037C2"/>
    <w:rsid w:val="68FE36DD"/>
    <w:rsid w:val="694E60FC"/>
    <w:rsid w:val="6A256904"/>
    <w:rsid w:val="6ADE7537"/>
    <w:rsid w:val="6AE50633"/>
    <w:rsid w:val="6B030FF0"/>
    <w:rsid w:val="6B656832"/>
    <w:rsid w:val="6BCF1527"/>
    <w:rsid w:val="6BFD1C3F"/>
    <w:rsid w:val="6C675CE6"/>
    <w:rsid w:val="6C7C7E68"/>
    <w:rsid w:val="6CCA7D73"/>
    <w:rsid w:val="6CD81D64"/>
    <w:rsid w:val="6D2C3975"/>
    <w:rsid w:val="6D4F4321"/>
    <w:rsid w:val="6D594C53"/>
    <w:rsid w:val="6D5B4E6F"/>
    <w:rsid w:val="6D6F2B11"/>
    <w:rsid w:val="6DCF3167"/>
    <w:rsid w:val="6DF41B82"/>
    <w:rsid w:val="6DFF7360"/>
    <w:rsid w:val="6E005A16"/>
    <w:rsid w:val="6E11552E"/>
    <w:rsid w:val="6E7361E8"/>
    <w:rsid w:val="6E7A5F73"/>
    <w:rsid w:val="6EC408AF"/>
    <w:rsid w:val="6EE90F9D"/>
    <w:rsid w:val="6F8D5088"/>
    <w:rsid w:val="6FD05147"/>
    <w:rsid w:val="6FD74228"/>
    <w:rsid w:val="6FE748F7"/>
    <w:rsid w:val="7021106F"/>
    <w:rsid w:val="70366B8A"/>
    <w:rsid w:val="70E1568B"/>
    <w:rsid w:val="71633091"/>
    <w:rsid w:val="71735BB6"/>
    <w:rsid w:val="71AA3778"/>
    <w:rsid w:val="71D40D4C"/>
    <w:rsid w:val="72303324"/>
    <w:rsid w:val="729C2671"/>
    <w:rsid w:val="72E04225"/>
    <w:rsid w:val="72E256EB"/>
    <w:rsid w:val="72EC2BA8"/>
    <w:rsid w:val="73081CA5"/>
    <w:rsid w:val="74201F7D"/>
    <w:rsid w:val="747D56CB"/>
    <w:rsid w:val="7487762D"/>
    <w:rsid w:val="74C33AA4"/>
    <w:rsid w:val="75210D7A"/>
    <w:rsid w:val="75385498"/>
    <w:rsid w:val="75432CCF"/>
    <w:rsid w:val="75A86778"/>
    <w:rsid w:val="75F37776"/>
    <w:rsid w:val="766A1AF6"/>
    <w:rsid w:val="76BC207F"/>
    <w:rsid w:val="76CA6BC2"/>
    <w:rsid w:val="76CC46E8"/>
    <w:rsid w:val="76EB4904"/>
    <w:rsid w:val="77645DCD"/>
    <w:rsid w:val="777378F5"/>
    <w:rsid w:val="777A2D3C"/>
    <w:rsid w:val="77BF424C"/>
    <w:rsid w:val="77CA37D2"/>
    <w:rsid w:val="78216CB5"/>
    <w:rsid w:val="787C3EEC"/>
    <w:rsid w:val="78CA2EA9"/>
    <w:rsid w:val="78F821C0"/>
    <w:rsid w:val="79074B81"/>
    <w:rsid w:val="7914205B"/>
    <w:rsid w:val="794F0939"/>
    <w:rsid w:val="79AF0FCA"/>
    <w:rsid w:val="79B975AB"/>
    <w:rsid w:val="7AAD4830"/>
    <w:rsid w:val="7ADA654D"/>
    <w:rsid w:val="7AF9279C"/>
    <w:rsid w:val="7BD27829"/>
    <w:rsid w:val="7BD647CE"/>
    <w:rsid w:val="7CC51958"/>
    <w:rsid w:val="7CD53DF9"/>
    <w:rsid w:val="7CF566CD"/>
    <w:rsid w:val="7D045F04"/>
    <w:rsid w:val="7D097C86"/>
    <w:rsid w:val="7D8B70AB"/>
    <w:rsid w:val="7DC61D5E"/>
    <w:rsid w:val="7E2936C3"/>
    <w:rsid w:val="7E2968C4"/>
    <w:rsid w:val="7E45049E"/>
    <w:rsid w:val="7E54157B"/>
    <w:rsid w:val="7E6411B9"/>
    <w:rsid w:val="7EC30004"/>
    <w:rsid w:val="7F2D4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58"/>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link w:val="60"/>
    <w:autoRedefine/>
    <w:semiHidden/>
    <w:unhideWhenUsed/>
    <w:qFormat/>
    <w:uiPriority w:val="9"/>
    <w:pPr>
      <w:keepNext/>
      <w:keepLines/>
      <w:spacing w:before="260" w:after="260" w:line="416" w:lineRule="auto"/>
      <w:outlineLvl w:val="2"/>
    </w:pPr>
    <w:rPr>
      <w:b/>
      <w:bCs/>
      <w:sz w:val="32"/>
      <w:szCs w:val="32"/>
    </w:rPr>
  </w:style>
  <w:style w:type="paragraph" w:styleId="2">
    <w:name w:val="heading 4"/>
    <w:basedOn w:val="1"/>
    <w:next w:val="1"/>
    <w:link w:val="65"/>
    <w:autoRedefine/>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1260"/>
      <w:jc w:val="left"/>
    </w:pPr>
    <w:rPr>
      <w:rFonts w:ascii="等线" w:eastAsia="等线"/>
      <w:sz w:val="18"/>
      <w:szCs w:val="18"/>
    </w:rPr>
  </w:style>
  <w:style w:type="paragraph" w:styleId="7">
    <w:name w:val="Normal Indent"/>
    <w:basedOn w:val="1"/>
    <w:autoRedefine/>
    <w:qFormat/>
    <w:uiPriority w:val="0"/>
    <w:pPr>
      <w:autoSpaceDE w:val="0"/>
      <w:autoSpaceDN w:val="0"/>
      <w:adjustRightInd w:val="0"/>
      <w:ind w:firstLine="240"/>
      <w:jc w:val="left"/>
    </w:pPr>
    <w:rPr>
      <w:rFonts w:ascii="宋体" w:hAnsi="Times New Roman" w:eastAsia="宋体" w:cs="Times New Roman"/>
      <w:color w:val="000000"/>
      <w:kern w:val="0"/>
      <w:sz w:val="24"/>
    </w:rPr>
  </w:style>
  <w:style w:type="paragraph" w:styleId="8">
    <w:name w:val="annotation text"/>
    <w:basedOn w:val="1"/>
    <w:link w:val="57"/>
    <w:autoRedefine/>
    <w:qFormat/>
    <w:uiPriority w:val="0"/>
    <w:pPr>
      <w:jc w:val="left"/>
    </w:pPr>
    <w:rPr>
      <w:rFonts w:ascii="Arial" w:hAnsi="Arial" w:eastAsia="黑体" w:cs="Arial"/>
    </w:rPr>
  </w:style>
  <w:style w:type="paragraph" w:styleId="9">
    <w:name w:val="Body Text"/>
    <w:basedOn w:val="1"/>
    <w:next w:val="10"/>
    <w:autoRedefine/>
    <w:qFormat/>
    <w:uiPriority w:val="0"/>
    <w:pPr>
      <w:spacing w:after="120" w:line="360" w:lineRule="auto"/>
      <w:jc w:val="center"/>
    </w:pPr>
    <w:rPr>
      <w:rFonts w:ascii="宋体" w:hAnsi="宋体" w:eastAsia="宋体" w:cs="@微软简标宋"/>
      <w:sz w:val="24"/>
      <w:szCs w:val="24"/>
    </w:rPr>
  </w:style>
  <w:style w:type="paragraph" w:styleId="10">
    <w:name w:val="Body Text First Indent"/>
    <w:basedOn w:val="9"/>
    <w:autoRedefine/>
    <w:unhideWhenUsed/>
    <w:qFormat/>
    <w:uiPriority w:val="99"/>
    <w:pPr>
      <w:ind w:firstLine="420" w:firstLineChars="100"/>
    </w:pPr>
  </w:style>
  <w:style w:type="paragraph" w:styleId="11">
    <w:name w:val="Body Text Indent"/>
    <w:basedOn w:val="1"/>
    <w:next w:val="12"/>
    <w:autoRedefine/>
    <w:qFormat/>
    <w:uiPriority w:val="0"/>
    <w:pPr>
      <w:spacing w:after="120"/>
      <w:ind w:left="420" w:leftChars="200"/>
    </w:pPr>
  </w:style>
  <w:style w:type="paragraph" w:styleId="12">
    <w:name w:val="envelope return"/>
    <w:basedOn w:val="1"/>
    <w:next w:val="1"/>
    <w:autoRedefine/>
    <w:qFormat/>
    <w:uiPriority w:val="0"/>
    <w:pPr>
      <w:snapToGrid w:val="0"/>
    </w:pPr>
    <w:rPr>
      <w:rFonts w:ascii="Arial" w:hAnsi="Arial"/>
    </w:rPr>
  </w:style>
  <w:style w:type="paragraph" w:styleId="13">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4">
    <w:name w:val="Plain Text"/>
    <w:basedOn w:val="1"/>
    <w:link w:val="47"/>
    <w:autoRedefine/>
    <w:qFormat/>
    <w:uiPriority w:val="99"/>
    <w:rPr>
      <w:rFonts w:ascii="宋体" w:hAnsi="Courier New" w:eastAsiaTheme="minorEastAsia" w:cstheme="minorBidi"/>
      <w:szCs w:val="22"/>
    </w:rPr>
  </w:style>
  <w:style w:type="paragraph" w:styleId="15">
    <w:name w:val="Date"/>
    <w:basedOn w:val="1"/>
    <w:next w:val="1"/>
    <w:link w:val="54"/>
    <w:autoRedefine/>
    <w:qFormat/>
    <w:uiPriority w:val="0"/>
    <w:rPr>
      <w:rFonts w:ascii="Arial" w:hAnsi="Arial" w:eastAsia="宋体" w:cs="Arial"/>
      <w:b/>
      <w:sz w:val="28"/>
    </w:rPr>
  </w:style>
  <w:style w:type="paragraph" w:styleId="16">
    <w:name w:val="Balloon Text"/>
    <w:basedOn w:val="1"/>
    <w:link w:val="41"/>
    <w:autoRedefine/>
    <w:semiHidden/>
    <w:unhideWhenUsed/>
    <w:qFormat/>
    <w:uiPriority w:val="99"/>
    <w:rPr>
      <w:sz w:val="18"/>
      <w:szCs w:val="18"/>
    </w:rPr>
  </w:style>
  <w:style w:type="paragraph" w:styleId="17">
    <w:name w:val="footer"/>
    <w:basedOn w:val="1"/>
    <w:link w:val="46"/>
    <w:autoRedefine/>
    <w:unhideWhenUsed/>
    <w:qFormat/>
    <w:uiPriority w:val="99"/>
    <w:pPr>
      <w:tabs>
        <w:tab w:val="center" w:pos="4153"/>
        <w:tab w:val="right" w:pos="8306"/>
      </w:tabs>
      <w:snapToGrid w:val="0"/>
      <w:jc w:val="left"/>
    </w:pPr>
    <w:rPr>
      <w:sz w:val="18"/>
      <w:szCs w:val="18"/>
    </w:rPr>
  </w:style>
  <w:style w:type="paragraph" w:styleId="18">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20">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1">
    <w:name w:val="Normal (Web)"/>
    <w:basedOn w:val="1"/>
    <w:next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annotation subject"/>
    <w:basedOn w:val="8"/>
    <w:next w:val="8"/>
    <w:link w:val="68"/>
    <w:autoRedefine/>
    <w:semiHidden/>
    <w:unhideWhenUsed/>
    <w:qFormat/>
    <w:uiPriority w:val="99"/>
    <w:rPr>
      <w:rFonts w:ascii="@仿宋_GB2312" w:hAnsi="@仿宋_GB2312" w:eastAsia="@仿宋_GB2312" w:cs="@仿宋_GB2312"/>
      <w:b/>
      <w:bCs/>
    </w:rPr>
  </w:style>
  <w:style w:type="paragraph" w:styleId="24">
    <w:name w:val="Body Text First Indent 2"/>
    <w:basedOn w:val="11"/>
    <w:next w:val="1"/>
    <w:autoRedefine/>
    <w:qFormat/>
    <w:uiPriority w:val="0"/>
    <w:pPr>
      <w:framePr w:hSpace="180" w:wrap="around" w:vAnchor="text" w:hAnchor="page" w:x="1533" w:y="390"/>
      <w:suppressOverlap/>
      <w:ind w:left="394" w:firstLine="394" w:firstLineChars="200"/>
    </w:pPr>
  </w:style>
  <w:style w:type="table" w:styleId="26">
    <w:name w:val="Table Grid"/>
    <w:basedOn w:val="25"/>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autoRedefine/>
    <w:qFormat/>
    <w:uiPriority w:val="0"/>
    <w:rPr>
      <w:b/>
      <w:bCs/>
    </w:rPr>
  </w:style>
  <w:style w:type="character" w:styleId="29">
    <w:name w:val="FollowedHyperlink"/>
    <w:basedOn w:val="27"/>
    <w:autoRedefine/>
    <w:semiHidden/>
    <w:unhideWhenUsed/>
    <w:qFormat/>
    <w:uiPriority w:val="99"/>
    <w:rPr>
      <w:color w:val="5C5C5C"/>
      <w:u w:val="none"/>
    </w:rPr>
  </w:style>
  <w:style w:type="character" w:styleId="30">
    <w:name w:val="Emphasis"/>
    <w:basedOn w:val="27"/>
    <w:autoRedefine/>
    <w:qFormat/>
    <w:uiPriority w:val="20"/>
    <w:rPr>
      <w:b/>
      <w:bCs/>
    </w:rPr>
  </w:style>
  <w:style w:type="character" w:styleId="31">
    <w:name w:val="HTML Definition"/>
    <w:basedOn w:val="27"/>
    <w:autoRedefine/>
    <w:semiHidden/>
    <w:unhideWhenUsed/>
    <w:qFormat/>
    <w:uiPriority w:val="99"/>
  </w:style>
  <w:style w:type="character" w:styleId="32">
    <w:name w:val="HTML Typewriter"/>
    <w:basedOn w:val="27"/>
    <w:autoRedefine/>
    <w:semiHidden/>
    <w:unhideWhenUsed/>
    <w:qFormat/>
    <w:uiPriority w:val="99"/>
    <w:rPr>
      <w:rFonts w:hint="default" w:ascii="monospace" w:hAnsi="monospace" w:eastAsia="monospace" w:cs="monospace"/>
      <w:sz w:val="20"/>
    </w:rPr>
  </w:style>
  <w:style w:type="character" w:styleId="33">
    <w:name w:val="HTML Acronym"/>
    <w:basedOn w:val="27"/>
    <w:autoRedefine/>
    <w:semiHidden/>
    <w:unhideWhenUsed/>
    <w:qFormat/>
    <w:uiPriority w:val="99"/>
  </w:style>
  <w:style w:type="character" w:styleId="34">
    <w:name w:val="HTML Variable"/>
    <w:basedOn w:val="27"/>
    <w:autoRedefine/>
    <w:semiHidden/>
    <w:unhideWhenUsed/>
    <w:qFormat/>
    <w:uiPriority w:val="99"/>
  </w:style>
  <w:style w:type="character" w:styleId="35">
    <w:name w:val="Hyperlink"/>
    <w:basedOn w:val="27"/>
    <w:autoRedefine/>
    <w:unhideWhenUsed/>
    <w:qFormat/>
    <w:uiPriority w:val="99"/>
    <w:rPr>
      <w:color w:val="0000FF" w:themeColor="hyperlink"/>
      <w:u w:val="single"/>
      <w14:textFill>
        <w14:solidFill>
          <w14:schemeClr w14:val="hlink"/>
        </w14:solidFill>
      </w14:textFill>
    </w:rPr>
  </w:style>
  <w:style w:type="character" w:styleId="36">
    <w:name w:val="HTML Code"/>
    <w:basedOn w:val="27"/>
    <w:autoRedefine/>
    <w:semiHidden/>
    <w:unhideWhenUsed/>
    <w:qFormat/>
    <w:uiPriority w:val="99"/>
    <w:rPr>
      <w:rFonts w:hint="default" w:ascii="monospace" w:hAnsi="monospace" w:eastAsia="monospace" w:cs="monospace"/>
      <w:sz w:val="20"/>
    </w:rPr>
  </w:style>
  <w:style w:type="character" w:styleId="37">
    <w:name w:val="annotation reference"/>
    <w:basedOn w:val="27"/>
    <w:autoRedefine/>
    <w:semiHidden/>
    <w:unhideWhenUsed/>
    <w:qFormat/>
    <w:uiPriority w:val="99"/>
    <w:rPr>
      <w:sz w:val="21"/>
      <w:szCs w:val="21"/>
    </w:rPr>
  </w:style>
  <w:style w:type="character" w:styleId="38">
    <w:name w:val="HTML Cite"/>
    <w:basedOn w:val="27"/>
    <w:autoRedefine/>
    <w:semiHidden/>
    <w:unhideWhenUsed/>
    <w:qFormat/>
    <w:uiPriority w:val="99"/>
  </w:style>
  <w:style w:type="character" w:styleId="39">
    <w:name w:val="HTML Keyboard"/>
    <w:basedOn w:val="27"/>
    <w:autoRedefine/>
    <w:semiHidden/>
    <w:unhideWhenUsed/>
    <w:qFormat/>
    <w:uiPriority w:val="99"/>
    <w:rPr>
      <w:rFonts w:hint="default" w:ascii="monospace" w:hAnsi="monospace" w:eastAsia="monospace" w:cs="monospace"/>
      <w:sz w:val="20"/>
    </w:rPr>
  </w:style>
  <w:style w:type="character" w:styleId="40">
    <w:name w:val="HTML Sample"/>
    <w:basedOn w:val="27"/>
    <w:autoRedefine/>
    <w:semiHidden/>
    <w:unhideWhenUsed/>
    <w:qFormat/>
    <w:uiPriority w:val="99"/>
    <w:rPr>
      <w:rFonts w:ascii="monospace" w:hAnsi="monospace" w:eastAsia="monospace" w:cs="monospace"/>
    </w:rPr>
  </w:style>
  <w:style w:type="character" w:customStyle="1" w:styleId="41">
    <w:name w:val="批注框文本 Char"/>
    <w:basedOn w:val="27"/>
    <w:link w:val="16"/>
    <w:autoRedefine/>
    <w:semiHidden/>
    <w:qFormat/>
    <w:uiPriority w:val="99"/>
    <w:rPr>
      <w:rFonts w:ascii="@仿宋_GB2312" w:hAnsi="@仿宋_GB2312" w:eastAsia="@仿宋_GB2312" w:cs="@仿宋_GB2312"/>
      <w:sz w:val="18"/>
      <w:szCs w:val="18"/>
    </w:rPr>
  </w:style>
  <w:style w:type="paragraph" w:customStyle="1" w:styleId="42">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3">
    <w:name w:val="xl31"/>
    <w:basedOn w:val="1"/>
    <w:autoRedefine/>
    <w:qFormat/>
    <w:uiPriority w:val="0"/>
    <w:pPr>
      <w:spacing w:line="360" w:lineRule="auto"/>
    </w:pPr>
    <w:rPr>
      <w:rFonts w:ascii="宋体" w:hAnsi="宋体" w:eastAsia="宋体"/>
      <w:bCs/>
      <w:color w:val="FF0000"/>
      <w:kern w:val="0"/>
      <w:sz w:val="24"/>
      <w:szCs w:val="28"/>
    </w:rPr>
  </w:style>
  <w:style w:type="paragraph" w:customStyle="1" w:styleId="44">
    <w:name w:val="D&amp;L"/>
    <w:basedOn w:val="18"/>
    <w:autoRedefine/>
    <w:qFormat/>
    <w:uiPriority w:val="0"/>
    <w:pPr>
      <w:pBdr>
        <w:bottom w:val="none" w:color="auto" w:sz="0" w:space="0"/>
      </w:pBdr>
      <w:tabs>
        <w:tab w:val="clear" w:pos="4153"/>
        <w:tab w:val="clear" w:pos="8306"/>
      </w:tabs>
      <w:snapToGrid/>
    </w:pPr>
    <w:rPr>
      <w:rFonts w:ascii="宋体" w:hAnsi="宋体" w:eastAsia="宋体"/>
      <w:bCs/>
      <w:sz w:val="24"/>
      <w:szCs w:val="20"/>
    </w:rPr>
  </w:style>
  <w:style w:type="character" w:customStyle="1" w:styleId="45">
    <w:name w:val="页眉 Char"/>
    <w:basedOn w:val="27"/>
    <w:link w:val="18"/>
    <w:autoRedefine/>
    <w:qFormat/>
    <w:uiPriority w:val="99"/>
    <w:rPr>
      <w:rFonts w:ascii="@仿宋_GB2312" w:hAnsi="@仿宋_GB2312" w:eastAsia="@仿宋_GB2312" w:cs="@仿宋_GB2312"/>
      <w:sz w:val="18"/>
      <w:szCs w:val="18"/>
    </w:rPr>
  </w:style>
  <w:style w:type="character" w:customStyle="1" w:styleId="46">
    <w:name w:val="页脚 Char"/>
    <w:basedOn w:val="27"/>
    <w:link w:val="17"/>
    <w:autoRedefine/>
    <w:qFormat/>
    <w:uiPriority w:val="99"/>
    <w:rPr>
      <w:rFonts w:ascii="@仿宋_GB2312" w:hAnsi="@仿宋_GB2312" w:eastAsia="@仿宋_GB2312" w:cs="@仿宋_GB2312"/>
      <w:sz w:val="18"/>
      <w:szCs w:val="18"/>
    </w:rPr>
  </w:style>
  <w:style w:type="character" w:customStyle="1" w:styleId="47">
    <w:name w:val="纯文本 Char"/>
    <w:link w:val="14"/>
    <w:autoRedefine/>
    <w:qFormat/>
    <w:uiPriority w:val="0"/>
    <w:rPr>
      <w:rFonts w:ascii="宋体" w:hAnsi="Courier New"/>
    </w:rPr>
  </w:style>
  <w:style w:type="character" w:customStyle="1" w:styleId="48">
    <w:name w:val="纯文本 字符1"/>
    <w:basedOn w:val="27"/>
    <w:autoRedefine/>
    <w:semiHidden/>
    <w:qFormat/>
    <w:uiPriority w:val="99"/>
    <w:rPr>
      <w:rFonts w:hAnsi="Courier New" w:cs="Courier New" w:asciiTheme="minorEastAsia"/>
      <w:szCs w:val="20"/>
    </w:rPr>
  </w:style>
  <w:style w:type="character" w:customStyle="1" w:styleId="49">
    <w:name w:val="未处理的提及1"/>
    <w:basedOn w:val="27"/>
    <w:autoRedefine/>
    <w:semiHidden/>
    <w:unhideWhenUsed/>
    <w:qFormat/>
    <w:uiPriority w:val="99"/>
    <w:rPr>
      <w:color w:val="605E5C"/>
      <w:shd w:val="clear" w:color="auto" w:fill="E1DFDD"/>
    </w:rPr>
  </w:style>
  <w:style w:type="paragraph" w:styleId="50">
    <w:name w:val="List Paragraph"/>
    <w:basedOn w:val="1"/>
    <w:autoRedefine/>
    <w:qFormat/>
    <w:uiPriority w:val="34"/>
    <w:pPr>
      <w:spacing w:line="500" w:lineRule="exact"/>
      <w:ind w:left="480"/>
      <w:jc w:val="left"/>
      <w:textAlignment w:val="center"/>
    </w:pPr>
  </w:style>
  <w:style w:type="paragraph" w:customStyle="1" w:styleId="51">
    <w:name w:val="Char Char Char Char Char Char Char1 Char"/>
    <w:basedOn w:val="1"/>
    <w:autoRedefine/>
    <w:qFormat/>
    <w:uiPriority w:val="0"/>
    <w:rPr>
      <w:rFonts w:ascii="Arial" w:hAnsi="Arial" w:eastAsia="宋体" w:cs="Arial"/>
      <w:sz w:val="24"/>
    </w:rPr>
  </w:style>
  <w:style w:type="table" w:customStyle="1" w:styleId="52">
    <w:name w:val="网格表 1 浅色1"/>
    <w:basedOn w:val="25"/>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3">
    <w:name w:val="日期 字符"/>
    <w:basedOn w:val="27"/>
    <w:autoRedefine/>
    <w:semiHidden/>
    <w:qFormat/>
    <w:uiPriority w:val="99"/>
    <w:rPr>
      <w:rFonts w:ascii="@仿宋_GB2312" w:hAnsi="@仿宋_GB2312" w:eastAsia="@仿宋_GB2312" w:cs="@仿宋_GB2312"/>
      <w:szCs w:val="20"/>
    </w:rPr>
  </w:style>
  <w:style w:type="character" w:customStyle="1" w:styleId="54">
    <w:name w:val="日期 Char"/>
    <w:link w:val="15"/>
    <w:autoRedefine/>
    <w:qFormat/>
    <w:uiPriority w:val="0"/>
    <w:rPr>
      <w:rFonts w:ascii="Arial" w:hAnsi="Arial" w:eastAsia="宋体" w:cs="Arial"/>
      <w:b/>
      <w:sz w:val="28"/>
      <w:szCs w:val="20"/>
    </w:rPr>
  </w:style>
  <w:style w:type="character" w:customStyle="1" w:styleId="55">
    <w:name w:val="纯文本 Char1"/>
    <w:autoRedefine/>
    <w:qFormat/>
    <w:locked/>
    <w:uiPriority w:val="99"/>
    <w:rPr>
      <w:rFonts w:ascii="Arial" w:hAnsi="Arial" w:eastAsia="Arial"/>
      <w:kern w:val="2"/>
      <w:sz w:val="21"/>
      <w:lang w:val="en-US" w:eastAsia="zh-CN" w:bidi="ar-SA"/>
    </w:rPr>
  </w:style>
  <w:style w:type="character" w:customStyle="1" w:styleId="56">
    <w:name w:val="批注文字 Char"/>
    <w:basedOn w:val="27"/>
    <w:autoRedefine/>
    <w:semiHidden/>
    <w:qFormat/>
    <w:uiPriority w:val="99"/>
    <w:rPr>
      <w:rFonts w:ascii="@仿宋_GB2312" w:hAnsi="@仿宋_GB2312" w:eastAsia="@仿宋_GB2312" w:cs="@仿宋_GB2312"/>
      <w:szCs w:val="20"/>
    </w:rPr>
  </w:style>
  <w:style w:type="character" w:customStyle="1" w:styleId="57">
    <w:name w:val="批注文字 Char1"/>
    <w:link w:val="8"/>
    <w:autoRedefine/>
    <w:qFormat/>
    <w:uiPriority w:val="0"/>
    <w:rPr>
      <w:rFonts w:ascii="Arial" w:hAnsi="Arial" w:eastAsia="黑体" w:cs="Arial"/>
      <w:szCs w:val="20"/>
    </w:rPr>
  </w:style>
  <w:style w:type="character" w:customStyle="1" w:styleId="58">
    <w:name w:val="标题 1 Char"/>
    <w:basedOn w:val="27"/>
    <w:link w:val="3"/>
    <w:autoRedefine/>
    <w:qFormat/>
    <w:uiPriority w:val="9"/>
    <w:rPr>
      <w:rFonts w:ascii="@仿宋_GB2312" w:hAnsi="@仿宋_GB2312" w:eastAsia="@仿宋_GB2312" w:cs="@仿宋_GB2312"/>
      <w:b/>
      <w:bCs/>
      <w:kern w:val="44"/>
      <w:sz w:val="44"/>
      <w:szCs w:val="44"/>
    </w:rPr>
  </w:style>
  <w:style w:type="paragraph" w:customStyle="1" w:styleId="59">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0">
    <w:name w:val="标题 3 Char"/>
    <w:basedOn w:val="27"/>
    <w:link w:val="5"/>
    <w:autoRedefine/>
    <w:semiHidden/>
    <w:qFormat/>
    <w:uiPriority w:val="9"/>
    <w:rPr>
      <w:rFonts w:ascii="@仿宋_GB2312" w:hAnsi="@仿宋_GB2312" w:eastAsia="@仿宋_GB2312" w:cs="@仿宋_GB2312"/>
      <w:b/>
      <w:bCs/>
      <w:sz w:val="32"/>
      <w:szCs w:val="32"/>
    </w:rPr>
  </w:style>
  <w:style w:type="character" w:customStyle="1" w:styleId="61">
    <w:name w:val="fontstyle01"/>
    <w:basedOn w:val="27"/>
    <w:autoRedefine/>
    <w:qFormat/>
    <w:uiPriority w:val="0"/>
    <w:rPr>
      <w:rFonts w:hint="eastAsia" w:ascii="宋体" w:hAnsi="宋体" w:eastAsia="宋体"/>
      <w:color w:val="000000"/>
      <w:sz w:val="22"/>
      <w:szCs w:val="22"/>
    </w:rPr>
  </w:style>
  <w:style w:type="character" w:customStyle="1" w:styleId="62">
    <w:name w:val="fontstyle21"/>
    <w:basedOn w:val="27"/>
    <w:autoRedefine/>
    <w:qFormat/>
    <w:uiPriority w:val="0"/>
    <w:rPr>
      <w:rFonts w:hint="default" w:ascii="TimesNewRomanPSMT" w:hAnsi="TimesNewRomanPSMT"/>
      <w:color w:val="000000"/>
      <w:sz w:val="22"/>
      <w:szCs w:val="22"/>
    </w:rPr>
  </w:style>
  <w:style w:type="character" w:customStyle="1" w:styleId="63">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4">
    <w:name w:val="标题 4 字符"/>
    <w:basedOn w:val="27"/>
    <w:autoRedefine/>
    <w:semiHidden/>
    <w:qFormat/>
    <w:uiPriority w:val="9"/>
    <w:rPr>
      <w:rFonts w:asciiTheme="majorHAnsi" w:hAnsiTheme="majorHAnsi" w:eastAsiaTheme="majorEastAsia" w:cstheme="majorBidi"/>
      <w:b/>
      <w:bCs/>
      <w:sz w:val="28"/>
      <w:szCs w:val="28"/>
    </w:rPr>
  </w:style>
  <w:style w:type="character" w:customStyle="1" w:styleId="65">
    <w:name w:val="标题 4 Char1"/>
    <w:link w:val="2"/>
    <w:autoRedefine/>
    <w:qFormat/>
    <w:uiPriority w:val="0"/>
    <w:rPr>
      <w:rFonts w:ascii="@仿宋_GB2312" w:hAnsi="@仿宋_GB2312" w:eastAsia="@仿宋_GB2312" w:cs="@仿宋_GB2312"/>
      <w:b/>
      <w:bCs/>
      <w:sz w:val="28"/>
      <w:szCs w:val="28"/>
    </w:rPr>
  </w:style>
  <w:style w:type="character" w:customStyle="1" w:styleId="66">
    <w:name w:val="标题 4 Char"/>
    <w:autoRedefine/>
    <w:qFormat/>
    <w:uiPriority w:val="0"/>
    <w:rPr>
      <w:rFonts w:ascii="Arial" w:hAnsi="Arial" w:eastAsia="Arial"/>
      <w:b/>
      <w:bCs/>
      <w:kern w:val="2"/>
      <w:sz w:val="28"/>
      <w:szCs w:val="28"/>
      <w:lang w:val="en-US" w:eastAsia="zh-CN" w:bidi="ar-SA"/>
    </w:rPr>
  </w:style>
  <w:style w:type="table" w:customStyle="1" w:styleId="67">
    <w:name w:val="网格型1"/>
    <w:basedOn w:val="2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8">
    <w:name w:val="批注主题 Char"/>
    <w:basedOn w:val="57"/>
    <w:link w:val="23"/>
    <w:autoRedefine/>
    <w:semiHidden/>
    <w:qFormat/>
    <w:uiPriority w:val="99"/>
    <w:rPr>
      <w:rFonts w:ascii="@仿宋_GB2312" w:hAnsi="@仿宋_GB2312" w:eastAsia="@仿宋_GB2312" w:cs="@仿宋_GB2312"/>
      <w:b/>
      <w:bCs/>
      <w:szCs w:val="20"/>
    </w:rPr>
  </w:style>
  <w:style w:type="table" w:customStyle="1" w:styleId="69">
    <w:name w:val="Table Normal"/>
    <w:autoRedefine/>
    <w:semiHidden/>
    <w:unhideWhenUsed/>
    <w:qFormat/>
    <w:uiPriority w:val="0"/>
    <w:tblPr>
      <w:tblCellMar>
        <w:top w:w="0" w:type="dxa"/>
        <w:left w:w="0" w:type="dxa"/>
        <w:bottom w:w="0" w:type="dxa"/>
        <w:right w:w="0" w:type="dxa"/>
      </w:tblCellMar>
    </w:tblPr>
  </w:style>
  <w:style w:type="paragraph" w:customStyle="1" w:styleId="70">
    <w:name w:val="Table Text"/>
    <w:basedOn w:val="1"/>
    <w:autoRedefine/>
    <w:semiHidden/>
    <w:qFormat/>
    <w:uiPriority w:val="0"/>
    <w:rPr>
      <w:rFonts w:ascii="Arial" w:hAnsi="Arial" w:eastAsia="Arial" w:cs="Arial"/>
      <w:szCs w:val="21"/>
      <w:lang w:eastAsia="en-US"/>
    </w:rPr>
  </w:style>
  <w:style w:type="paragraph" w:customStyle="1" w:styleId="71">
    <w:name w:val="AONormal"/>
    <w:autoRedefine/>
    <w:qFormat/>
    <w:uiPriority w:val="0"/>
    <w:pPr>
      <w:autoSpaceDE w:val="0"/>
      <w:autoSpaceDN w:val="0"/>
      <w:adjustRightInd w:val="0"/>
      <w:spacing w:line="400" w:lineRule="exact"/>
      <w:ind w:firstLine="240" w:firstLineChars="100"/>
    </w:pPr>
    <w:rPr>
      <w:rFonts w:ascii="黑体" w:hAnsi="黑体" w:eastAsia="黑体" w:cs="华文楷体"/>
      <w:sz w:val="24"/>
      <w:szCs w:val="28"/>
      <w:lang w:val="en-US" w:eastAsia="zh-CN" w:bidi="ar-SA"/>
    </w:rPr>
  </w:style>
  <w:style w:type="paragraph" w:customStyle="1" w:styleId="72">
    <w:name w:val="列出段落1"/>
    <w:basedOn w:val="1"/>
    <w:autoRedefine/>
    <w:qFormat/>
    <w:uiPriority w:val="0"/>
    <w:pPr>
      <w:ind w:firstLine="420" w:firstLineChars="200"/>
    </w:pPr>
    <w:rPr>
      <w:szCs w:val="21"/>
    </w:rPr>
  </w:style>
  <w:style w:type="character" w:customStyle="1" w:styleId="73">
    <w:name w:val="font21"/>
    <w:basedOn w:val="27"/>
    <w:autoRedefine/>
    <w:qFormat/>
    <w:uiPriority w:val="0"/>
    <w:rPr>
      <w:rFonts w:hint="eastAsia" w:ascii="宋体" w:hAnsi="宋体" w:eastAsia="宋体" w:cs="宋体"/>
      <w:color w:val="000000"/>
      <w:sz w:val="20"/>
      <w:szCs w:val="20"/>
      <w:u w:val="none"/>
    </w:rPr>
  </w:style>
  <w:style w:type="character" w:customStyle="1" w:styleId="74">
    <w:name w:val="hover"/>
    <w:basedOn w:val="27"/>
    <w:autoRedefine/>
    <w:qFormat/>
    <w:uiPriority w:val="0"/>
    <w:rPr>
      <w:color w:val="2590EB"/>
    </w:rPr>
  </w:style>
  <w:style w:type="character" w:customStyle="1" w:styleId="75">
    <w:name w:val="hover1"/>
    <w:basedOn w:val="27"/>
    <w:autoRedefine/>
    <w:qFormat/>
    <w:uiPriority w:val="0"/>
    <w:rPr>
      <w:color w:val="2590EB"/>
    </w:rPr>
  </w:style>
  <w:style w:type="character" w:customStyle="1" w:styleId="76">
    <w:name w:val="hover2"/>
    <w:basedOn w:val="27"/>
    <w:autoRedefine/>
    <w:qFormat/>
    <w:uiPriority w:val="0"/>
  </w:style>
  <w:style w:type="character" w:customStyle="1" w:styleId="77">
    <w:name w:val="hover3"/>
    <w:basedOn w:val="27"/>
    <w:autoRedefine/>
    <w:qFormat/>
    <w:uiPriority w:val="0"/>
    <w:rPr>
      <w:color w:val="2590EB"/>
      <w:shd w:val="clear" w:color="auto" w:fill="E9F4FD"/>
    </w:rPr>
  </w:style>
  <w:style w:type="character" w:customStyle="1" w:styleId="78">
    <w:name w:val="mini-outputtext1"/>
    <w:basedOn w:val="27"/>
    <w:autoRedefine/>
    <w:qFormat/>
    <w:uiPriority w:val="0"/>
  </w:style>
  <w:style w:type="paragraph" w:customStyle="1" w:styleId="79">
    <w:name w:val="Table Paragraph"/>
    <w:basedOn w:val="1"/>
    <w:next w:val="1"/>
    <w:autoRedefine/>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A4CC47-0899-4DEC-B5E2-5A2446F4BB50}">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52</Pages>
  <Words>5871</Words>
  <Characters>6266</Characters>
  <Lines>317</Lines>
  <Paragraphs>89</Paragraphs>
  <TotalTime>44</TotalTime>
  <ScaleCrop>false</ScaleCrop>
  <LinksUpToDate>false</LinksUpToDate>
  <CharactersWithSpaces>6499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2019-12-07T15:18:00Z</cp:lastPrinted>
  <dcterms:modified xsi:type="dcterms:W3CDTF">2024-10-29T08:27:38Z</dcterms:modified>
  <cp:revision>456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471294CB38E443FBACCAAB59F2E09936_13</vt:lpwstr>
  </property>
</Properties>
</file>