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C59085">
      <w:pPr>
        <w:widowControl/>
        <w:jc w:val="center"/>
        <w:rPr>
          <w:rFonts w:hint="eastAsia" w:ascii="宋体" w:hAnsi="宋体" w:eastAsia="宋体" w:cs="宋体"/>
          <w:b/>
          <w:bCs/>
          <w:sz w:val="44"/>
          <w:szCs w:val="44"/>
        </w:rPr>
      </w:pPr>
    </w:p>
    <w:p w14:paraId="7B10558B">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4</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lang w:val="en-US" w:eastAsia="zh-CN"/>
        </w:rPr>
        <w:t>12.14家具</w:t>
      </w:r>
      <w:r>
        <w:rPr>
          <w:rFonts w:hint="eastAsia" w:ascii="宋体" w:hAnsi="宋体" w:eastAsia="宋体" w:cs="宋体"/>
          <w:b/>
          <w:bCs/>
          <w:sz w:val="44"/>
          <w:szCs w:val="44"/>
          <w:highlight w:val="none"/>
        </w:rPr>
        <w:t>采购项目</w:t>
      </w:r>
    </w:p>
    <w:p w14:paraId="28CAAA41">
      <w:pPr>
        <w:widowControl/>
        <w:jc w:val="center"/>
        <w:rPr>
          <w:rFonts w:hint="eastAsia" w:ascii="宋体" w:hAnsi="宋体" w:eastAsia="宋体" w:cs="宋体"/>
          <w:b/>
          <w:bCs/>
          <w:sz w:val="44"/>
          <w:szCs w:val="44"/>
        </w:rPr>
      </w:pPr>
    </w:p>
    <w:p w14:paraId="35D425C7">
      <w:pPr>
        <w:pStyle w:val="5"/>
        <w:rPr>
          <w:rFonts w:ascii="Times New Roman" w:hAnsi="Times New Roman" w:cs="Times New Roman"/>
          <w:szCs w:val="21"/>
        </w:rPr>
      </w:pPr>
    </w:p>
    <w:p w14:paraId="462A6F52">
      <w:pPr>
        <w:pStyle w:val="5"/>
        <w:rPr>
          <w:rFonts w:ascii="Times New Roman" w:hAnsi="Times New Roman" w:cs="Times New Roman"/>
          <w:szCs w:val="21"/>
        </w:rPr>
      </w:pPr>
    </w:p>
    <w:p w14:paraId="0CD1DE1E">
      <w:pPr>
        <w:pStyle w:val="5"/>
        <w:rPr>
          <w:rFonts w:ascii="Times New Roman" w:hAnsi="Times New Roman" w:cs="Times New Roman"/>
          <w:szCs w:val="21"/>
        </w:rPr>
      </w:pPr>
    </w:p>
    <w:p w14:paraId="7CA7B8E8">
      <w:pPr>
        <w:spacing w:line="540" w:lineRule="exact"/>
        <w:ind w:firstLine="420"/>
        <w:rPr>
          <w:rFonts w:ascii="Times New Roman" w:hAnsi="Times New Roman" w:cs="Times New Roman"/>
          <w:szCs w:val="21"/>
        </w:rPr>
      </w:pPr>
    </w:p>
    <w:p w14:paraId="5B430238">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2D8843B5">
      <w:pPr>
        <w:spacing w:line="540" w:lineRule="exact"/>
        <w:ind w:firstLine="420"/>
        <w:rPr>
          <w:rFonts w:ascii="Times New Roman" w:hAnsi="Times New Roman" w:cs="Times New Roman"/>
          <w:szCs w:val="21"/>
        </w:rPr>
      </w:pPr>
    </w:p>
    <w:p w14:paraId="643B0897">
      <w:pPr>
        <w:spacing w:line="540" w:lineRule="exact"/>
        <w:ind w:firstLine="420"/>
        <w:rPr>
          <w:rFonts w:ascii="Times New Roman" w:hAnsi="Times New Roman" w:cs="Times New Roman"/>
          <w:szCs w:val="21"/>
        </w:rPr>
      </w:pPr>
    </w:p>
    <w:p w14:paraId="464C64AC">
      <w:pPr>
        <w:spacing w:line="540" w:lineRule="exact"/>
        <w:ind w:firstLine="420"/>
        <w:rPr>
          <w:rFonts w:ascii="Times New Roman" w:hAnsi="Times New Roman" w:cs="Times New Roman"/>
          <w:szCs w:val="21"/>
        </w:rPr>
      </w:pPr>
    </w:p>
    <w:p w14:paraId="0024E343">
      <w:pPr>
        <w:spacing w:line="540" w:lineRule="exact"/>
        <w:ind w:firstLine="420"/>
        <w:rPr>
          <w:rFonts w:ascii="Times New Roman" w:hAnsi="Times New Roman" w:cs="Times New Roman"/>
          <w:szCs w:val="21"/>
        </w:rPr>
      </w:pPr>
    </w:p>
    <w:p w14:paraId="6A0380CB">
      <w:pPr>
        <w:spacing w:line="540" w:lineRule="exact"/>
        <w:ind w:firstLine="420"/>
        <w:rPr>
          <w:rFonts w:ascii="Times New Roman" w:hAnsi="Times New Roman" w:cs="Times New Roman"/>
          <w:szCs w:val="21"/>
        </w:rPr>
      </w:pPr>
    </w:p>
    <w:p w14:paraId="66D7EE05">
      <w:pPr>
        <w:spacing w:line="540" w:lineRule="exact"/>
        <w:ind w:firstLine="420"/>
        <w:rPr>
          <w:rFonts w:ascii="Times New Roman" w:hAnsi="Times New Roman" w:cs="Times New Roman"/>
          <w:szCs w:val="21"/>
        </w:rPr>
      </w:pPr>
    </w:p>
    <w:p w14:paraId="56D4D3BD">
      <w:pPr>
        <w:spacing w:line="540" w:lineRule="exact"/>
        <w:ind w:firstLine="420"/>
        <w:rPr>
          <w:rFonts w:ascii="Times New Roman" w:hAnsi="Times New Roman" w:cs="Times New Roman"/>
          <w:szCs w:val="21"/>
        </w:rPr>
      </w:pPr>
    </w:p>
    <w:p w14:paraId="087A240C">
      <w:pPr>
        <w:spacing w:line="540" w:lineRule="exact"/>
        <w:ind w:firstLine="420"/>
        <w:rPr>
          <w:rFonts w:ascii="Times New Roman" w:hAnsi="Times New Roman" w:cs="Times New Roman"/>
          <w:szCs w:val="21"/>
        </w:rPr>
      </w:pPr>
    </w:p>
    <w:p w14:paraId="0BFB93CA">
      <w:pPr>
        <w:spacing w:line="540" w:lineRule="exact"/>
        <w:ind w:firstLine="420"/>
        <w:rPr>
          <w:rFonts w:ascii="Times New Roman" w:hAnsi="Times New Roman" w:cs="Times New Roman"/>
          <w:szCs w:val="21"/>
        </w:rPr>
      </w:pPr>
    </w:p>
    <w:p w14:paraId="5D07A876">
      <w:pPr>
        <w:spacing w:line="540" w:lineRule="exact"/>
        <w:ind w:firstLine="640"/>
        <w:rPr>
          <w:rFonts w:ascii="Times New Roman" w:hAnsi="Times New Roman" w:eastAsia="黑体" w:cs="Times New Roman"/>
          <w:sz w:val="32"/>
          <w:szCs w:val="32"/>
        </w:rPr>
      </w:pPr>
    </w:p>
    <w:p w14:paraId="07A61609">
      <w:pPr>
        <w:spacing w:line="540" w:lineRule="exact"/>
        <w:ind w:left="1896" w:leftChars="903"/>
        <w:rPr>
          <w:rFonts w:ascii="Times New Roman" w:hAnsi="Times New Roman" w:cs="Times New Roman"/>
          <w:szCs w:val="21"/>
        </w:rPr>
      </w:pPr>
    </w:p>
    <w:p w14:paraId="2927CDA9">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4C2B0FD8">
      <w:pPr>
        <w:snapToGrid w:val="0"/>
        <w:ind w:left="1896" w:leftChars="903"/>
        <w:rPr>
          <w:rFonts w:ascii="Times New Roman" w:hAnsi="Times New Roman" w:cs="Times New Roman"/>
          <w:sz w:val="32"/>
          <w:szCs w:val="32"/>
        </w:rPr>
      </w:pPr>
    </w:p>
    <w:p w14:paraId="38406281">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4</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 xml:space="preserve">12 </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14</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11453B0E">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7307CF13">
          <w:pPr>
            <w:jc w:val="center"/>
            <w:rPr>
              <w:rFonts w:ascii="黑体" w:hAnsi="黑体" w:eastAsia="黑体" w:cs="黑体"/>
              <w:sz w:val="44"/>
              <w:szCs w:val="44"/>
            </w:rPr>
          </w:pPr>
          <w:bookmarkStart w:id="0" w:name="_Toc13148_WPSOffice_Type1"/>
        </w:p>
        <w:p w14:paraId="04D9F39E">
          <w:pPr>
            <w:jc w:val="center"/>
            <w:rPr>
              <w:rFonts w:ascii="黑体" w:hAnsi="黑体" w:eastAsia="黑体" w:cs="黑体"/>
              <w:sz w:val="44"/>
              <w:szCs w:val="44"/>
            </w:rPr>
          </w:pPr>
          <w:r>
            <w:rPr>
              <w:rFonts w:hint="eastAsia" w:ascii="黑体" w:hAnsi="黑体" w:eastAsia="黑体" w:cs="黑体"/>
              <w:sz w:val="44"/>
              <w:szCs w:val="44"/>
            </w:rPr>
            <w:t>目 录</w:t>
          </w:r>
        </w:p>
        <w:p w14:paraId="50378F35">
          <w:pPr>
            <w:pStyle w:val="5"/>
          </w:pPr>
        </w:p>
        <w:p w14:paraId="3824AF73">
          <w:pPr>
            <w:pStyle w:val="23"/>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615C64A6">
          <w:pPr>
            <w:pStyle w:val="23"/>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645BD2C9">
          <w:pPr>
            <w:pStyle w:val="23"/>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3DBC4F1B">
          <w:pPr>
            <w:pStyle w:val="23"/>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59C1FBC">
          <w:pPr>
            <w:pStyle w:val="23"/>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269E1164">
          <w:pPr>
            <w:pStyle w:val="23"/>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3B7C85C1">
          <w:pPr>
            <w:pStyle w:val="23"/>
            <w:tabs>
              <w:tab w:val="right" w:leader="dot" w:pos="8312"/>
            </w:tabs>
          </w:pPr>
        </w:p>
      </w:sdtContent>
    </w:sdt>
    <w:bookmarkEnd w:id="0"/>
    <w:p w14:paraId="73338D66">
      <w:pPr>
        <w:jc w:val="center"/>
        <w:rPr>
          <w:rFonts w:ascii="宋体" w:hAnsi="宋体" w:eastAsia="宋体"/>
        </w:rPr>
      </w:pPr>
    </w:p>
    <w:p w14:paraId="65BB3189">
      <w:pPr>
        <w:jc w:val="center"/>
        <w:rPr>
          <w:rFonts w:ascii="宋体" w:hAnsi="宋体" w:eastAsia="宋体"/>
        </w:rPr>
      </w:pPr>
    </w:p>
    <w:p w14:paraId="28630CEA">
      <w:pPr>
        <w:rPr>
          <w:rFonts w:ascii="Times New Roman" w:hAnsi="Times New Roman" w:eastAsia="宋体" w:cs="Times New Roman"/>
        </w:rPr>
      </w:pPr>
      <w:r>
        <w:rPr>
          <w:rFonts w:ascii="Times New Roman" w:hAnsi="Times New Roman" w:eastAsia="宋体" w:cs="Times New Roman"/>
        </w:rPr>
        <w:br w:type="page"/>
      </w:r>
    </w:p>
    <w:p w14:paraId="5FF5F461">
      <w:pPr>
        <w:pStyle w:val="2"/>
        <w:numPr>
          <w:ilvl w:val="0"/>
          <w:numId w:val="0"/>
        </w:numPr>
        <w:spacing w:before="312" w:after="312"/>
        <w:ind w:leftChars="0"/>
        <w:jc w:val="center"/>
        <w:rPr>
          <w:rFonts w:ascii="Times New Roman" w:hAnsi="Times New Roman" w:eastAsia="宋体" w:cs="Times New Roman"/>
          <w:color w:val="auto"/>
        </w:rPr>
      </w:pPr>
      <w:bookmarkStart w:id="1" w:name="_Toc6425_WPSOffice_Level1"/>
      <w:r>
        <w:rPr>
          <w:rFonts w:hint="eastAsia" w:ascii="Times New Roman" w:hAnsi="Times New Roman" w:eastAsia="宋体" w:cs="Times New Roman"/>
          <w:color w:val="auto"/>
          <w:lang w:eastAsia="zh-CN"/>
        </w:rPr>
        <w:t>第一章</w:t>
      </w:r>
      <w:r>
        <w:rPr>
          <w:rFonts w:hint="eastAsia" w:ascii="Times New Roman" w:hAnsi="Times New Roman" w:eastAsia="宋体" w:cs="Times New Roman"/>
          <w:color w:val="auto"/>
          <w:lang w:val="en-US" w:eastAsia="zh-CN"/>
        </w:rPr>
        <w:t xml:space="preserve">  </w:t>
      </w:r>
      <w:r>
        <w:rPr>
          <w:rFonts w:ascii="Times New Roman" w:hAnsi="Times New Roman" w:eastAsia="宋体" w:cs="Times New Roman"/>
          <w:color w:val="auto"/>
        </w:rPr>
        <w:t>采购公告</w:t>
      </w:r>
      <w:bookmarkEnd w:id="1"/>
    </w:p>
    <w:p w14:paraId="0CB471EF">
      <w:pPr>
        <w:pStyle w:val="3"/>
        <w:snapToGrid w:val="0"/>
        <w:spacing w:before="120" w:after="120" w:line="560" w:lineRule="exact"/>
        <w:ind w:firstLine="403"/>
        <w:rPr>
          <w:rFonts w:hint="eastAsia" w:asciiTheme="minorEastAsia" w:hAnsiTheme="minorEastAsia" w:eastAsiaTheme="minorEastAsia" w:cstheme="minorEastAsia"/>
          <w:bCs w:val="0"/>
          <w:sz w:val="22"/>
          <w:szCs w:val="15"/>
          <w:highlight w:val="none"/>
        </w:rPr>
      </w:pPr>
      <w:bookmarkStart w:id="2" w:name="_Toc6496_WPSOffice_Level2"/>
      <w:bookmarkStart w:id="3" w:name="_Toc13871"/>
      <w:bookmarkStart w:id="4" w:name="_Toc24354_WPSOffice_Level2"/>
      <w:bookmarkStart w:id="5" w:name="_Toc4489_WPSOffice_Level2"/>
      <w:bookmarkStart w:id="6" w:name="_Toc10395_WPSOffice_Level2"/>
      <w:bookmarkStart w:id="7" w:name="_Toc525632585"/>
      <w:bookmarkStart w:id="8" w:name="_Toc12765"/>
      <w:r>
        <w:rPr>
          <w:rFonts w:hint="eastAsia" w:asciiTheme="minorEastAsia" w:hAnsiTheme="minorEastAsia" w:eastAsiaTheme="minorEastAsia" w:cstheme="minorEastAsia"/>
          <w:bCs w:val="0"/>
          <w:sz w:val="22"/>
          <w:szCs w:val="15"/>
          <w:highlight w:val="none"/>
        </w:rPr>
        <w:t>项目简介</w:t>
      </w:r>
      <w:bookmarkEnd w:id="2"/>
      <w:bookmarkEnd w:id="3"/>
      <w:bookmarkEnd w:id="4"/>
      <w:bookmarkEnd w:id="5"/>
      <w:bookmarkEnd w:id="6"/>
      <w:bookmarkEnd w:id="7"/>
      <w:bookmarkEnd w:id="8"/>
    </w:p>
    <w:p w14:paraId="10560305">
      <w:pPr>
        <w:widowControl/>
        <w:ind w:firstLine="420" w:firstLineChars="200"/>
        <w:rPr>
          <w:rFonts w:hint="eastAsia" w:asciiTheme="minorEastAsia" w:hAnsiTheme="minorEastAsia" w:eastAsiaTheme="minorEastAsia" w:cstheme="minorEastAsia"/>
          <w:b/>
          <w:bCs/>
          <w:color w:val="FF0000"/>
          <w:sz w:val="44"/>
          <w:szCs w:val="44"/>
          <w:highlight w:val="none"/>
        </w:rPr>
      </w:pPr>
      <w:r>
        <w:rPr>
          <w:rFonts w:hint="eastAsia" w:asciiTheme="minorEastAsia" w:hAnsiTheme="minorEastAsia" w:eastAsiaTheme="minorEastAsia" w:cstheme="minorEastAsia"/>
          <w:szCs w:val="22"/>
          <w:highlight w:val="none"/>
        </w:rPr>
        <w:t>1.1</w:t>
      </w:r>
      <w:r>
        <w:rPr>
          <w:rFonts w:hint="eastAsia" w:asciiTheme="minorEastAsia" w:hAnsiTheme="minorEastAsia" w:eastAsiaTheme="minorEastAsia" w:cstheme="minorEastAsia"/>
          <w:color w:val="FF0000"/>
          <w:szCs w:val="22"/>
          <w:highlight w:val="none"/>
        </w:rPr>
        <w:t xml:space="preserve"> </w:t>
      </w:r>
      <w:r>
        <w:rPr>
          <w:rFonts w:hint="eastAsia" w:asciiTheme="minorEastAsia" w:hAnsiTheme="minorEastAsia" w:eastAsiaTheme="minorEastAsia" w:cstheme="minorEastAsia"/>
          <w:szCs w:val="22"/>
          <w:highlight w:val="none"/>
        </w:rPr>
        <w:t>项目名称：</w:t>
      </w:r>
      <w:r>
        <w:rPr>
          <w:rFonts w:hint="eastAsia" w:asciiTheme="minorEastAsia" w:hAnsiTheme="minorEastAsia" w:eastAsiaTheme="minorEastAsia" w:cstheme="minorEastAsia"/>
          <w:szCs w:val="21"/>
          <w:highlight w:val="none"/>
          <w:u w:val="single"/>
        </w:rPr>
        <w:t>202</w:t>
      </w:r>
      <w:r>
        <w:rPr>
          <w:rFonts w:hint="eastAsia" w:asciiTheme="minorEastAsia" w:hAnsiTheme="minorEastAsia" w:eastAsiaTheme="minorEastAsia" w:cstheme="minorEastAsia"/>
          <w:szCs w:val="21"/>
          <w:highlight w:val="none"/>
          <w:u w:val="single"/>
          <w:lang w:val="en-US" w:eastAsia="zh-CN"/>
        </w:rPr>
        <w:t>4</w:t>
      </w:r>
      <w:r>
        <w:rPr>
          <w:rFonts w:hint="eastAsia" w:asciiTheme="minorEastAsia" w:hAnsiTheme="minorEastAsia" w:eastAsiaTheme="minorEastAsia" w:cstheme="minorEastAsia"/>
          <w:szCs w:val="21"/>
          <w:highlight w:val="none"/>
          <w:u w:val="single"/>
        </w:rPr>
        <w:t>年度安徽交运集团汽车销售有限公司</w:t>
      </w:r>
      <w:r>
        <w:rPr>
          <w:rFonts w:hint="eastAsia" w:asciiTheme="minorEastAsia" w:hAnsiTheme="minorEastAsia" w:eastAsiaTheme="minorEastAsia" w:cstheme="minorEastAsia"/>
          <w:szCs w:val="21"/>
          <w:highlight w:val="none"/>
          <w:u w:val="single"/>
          <w:lang w:eastAsia="zh-CN"/>
        </w:rPr>
        <w:t>12.1</w:t>
      </w:r>
      <w:r>
        <w:rPr>
          <w:rFonts w:hint="eastAsia" w:asciiTheme="minorEastAsia" w:hAnsiTheme="minorEastAsia" w:cstheme="minorEastAsia"/>
          <w:szCs w:val="21"/>
          <w:highlight w:val="none"/>
          <w:u w:val="single"/>
          <w:lang w:val="en-US" w:eastAsia="zh-CN"/>
        </w:rPr>
        <w:t>4</w:t>
      </w:r>
      <w:r>
        <w:rPr>
          <w:rFonts w:hint="eastAsia" w:asciiTheme="minorEastAsia" w:hAnsiTheme="minorEastAsia" w:eastAsiaTheme="minorEastAsia" w:cstheme="minorEastAsia"/>
          <w:szCs w:val="21"/>
          <w:highlight w:val="none"/>
          <w:u w:val="single"/>
          <w:lang w:eastAsia="zh-CN"/>
        </w:rPr>
        <w:t>家具采购项目</w:t>
      </w:r>
    </w:p>
    <w:p w14:paraId="0B3B0A3A">
      <w:pPr>
        <w:snapToGrid w:val="0"/>
        <w:spacing w:line="560" w:lineRule="exact"/>
        <w:ind w:firstLine="420" w:firstLineChars="200"/>
        <w:rPr>
          <w:rFonts w:hint="eastAsia" w:asciiTheme="minorEastAsia" w:hAnsiTheme="minorEastAsia" w:eastAsiaTheme="minorEastAsia" w:cstheme="minorEastAsia"/>
          <w:szCs w:val="22"/>
          <w:highlight w:val="none"/>
        </w:rPr>
      </w:pPr>
      <w:r>
        <w:rPr>
          <w:rFonts w:hint="eastAsia" w:asciiTheme="minorEastAsia" w:hAnsiTheme="minorEastAsia" w:eastAsiaTheme="minorEastAsia" w:cstheme="minorEastAsia"/>
          <w:szCs w:val="22"/>
          <w:highlight w:val="none"/>
        </w:rPr>
        <w:t>1.2 采 购 人：</w:t>
      </w:r>
      <w:r>
        <w:rPr>
          <w:rFonts w:hint="eastAsia" w:asciiTheme="minorEastAsia" w:hAnsiTheme="minorEastAsia" w:eastAsiaTheme="minorEastAsia" w:cstheme="minorEastAsia"/>
          <w:szCs w:val="22"/>
          <w:highlight w:val="none"/>
          <w:u w:val="single"/>
        </w:rPr>
        <w:t>安徽交运集团汽车销售有限公司</w:t>
      </w:r>
    </w:p>
    <w:p w14:paraId="6DCD37CF">
      <w:pPr>
        <w:snapToGrid w:val="0"/>
        <w:spacing w:line="440" w:lineRule="exact"/>
        <w:ind w:firstLine="420" w:firstLineChars="200"/>
        <w:rPr>
          <w:rFonts w:hint="eastAsia" w:asciiTheme="minorEastAsia" w:hAnsiTheme="minorEastAsia" w:eastAsiaTheme="minorEastAsia" w:cstheme="minorEastAsia"/>
          <w:szCs w:val="22"/>
          <w:highlight w:val="none"/>
          <w:u w:val="single"/>
        </w:rPr>
      </w:pPr>
      <w:r>
        <w:rPr>
          <w:rFonts w:hint="eastAsia" w:asciiTheme="minorEastAsia" w:hAnsiTheme="minorEastAsia" w:eastAsiaTheme="minorEastAsia" w:cstheme="minorEastAsia"/>
          <w:szCs w:val="22"/>
          <w:highlight w:val="none"/>
        </w:rPr>
        <w:t>1.3 项目概况：</w:t>
      </w:r>
      <w:r>
        <w:rPr>
          <w:rFonts w:hint="eastAsia" w:asciiTheme="minorEastAsia" w:hAnsiTheme="minorEastAsia" w:eastAsiaTheme="minorEastAsia" w:cstheme="minorEastAsia"/>
          <w:color w:val="auto"/>
          <w:szCs w:val="22"/>
          <w:highlight w:val="none"/>
          <w:u w:val="single"/>
        </w:rPr>
        <w:t>本项目为2024年</w:t>
      </w:r>
      <w:r>
        <w:rPr>
          <w:rFonts w:hint="eastAsia" w:asciiTheme="minorEastAsia" w:hAnsiTheme="minorEastAsia" w:cstheme="minorEastAsia"/>
          <w:color w:val="auto"/>
          <w:szCs w:val="22"/>
          <w:highlight w:val="none"/>
          <w:u w:val="single"/>
          <w:lang w:val="en-US" w:eastAsia="zh-CN"/>
        </w:rPr>
        <w:t>办公</w:t>
      </w:r>
      <w:r>
        <w:rPr>
          <w:rFonts w:hint="eastAsia" w:asciiTheme="minorEastAsia" w:hAnsiTheme="minorEastAsia" w:eastAsiaTheme="minorEastAsia" w:cstheme="minorEastAsia"/>
          <w:color w:val="auto"/>
          <w:szCs w:val="22"/>
          <w:highlight w:val="none"/>
          <w:u w:val="single"/>
        </w:rPr>
        <w:t xml:space="preserve">家具采购项目，根据相关规定及实际工作需要，拟采购一批家具，具体见采购清单 </w:t>
      </w:r>
    </w:p>
    <w:p w14:paraId="67D242CE">
      <w:pPr>
        <w:pStyle w:val="3"/>
        <w:snapToGrid w:val="0"/>
        <w:spacing w:before="120" w:after="120" w:line="560" w:lineRule="exact"/>
        <w:ind w:firstLine="403"/>
        <w:rPr>
          <w:rFonts w:hint="eastAsia" w:asciiTheme="minorEastAsia" w:hAnsiTheme="minorEastAsia" w:eastAsiaTheme="minorEastAsia" w:cstheme="minorEastAsia"/>
          <w:bCs w:val="0"/>
          <w:sz w:val="22"/>
          <w:szCs w:val="15"/>
          <w:highlight w:val="none"/>
        </w:rPr>
      </w:pPr>
      <w:bookmarkStart w:id="9" w:name="_Toc18367_WPSOffice_Level2"/>
      <w:bookmarkStart w:id="10" w:name="_Toc525632586"/>
      <w:bookmarkStart w:id="11" w:name="_Toc18453"/>
      <w:bookmarkStart w:id="12" w:name="_Toc8128_WPSOffice_Level2"/>
      <w:bookmarkStart w:id="13" w:name="_Toc23266_WPSOffice_Level2"/>
      <w:bookmarkStart w:id="14" w:name="_Toc10274"/>
      <w:bookmarkStart w:id="15" w:name="_Toc17858_WPSOffice_Level2"/>
      <w:r>
        <w:rPr>
          <w:rFonts w:hint="eastAsia" w:asciiTheme="minorEastAsia" w:hAnsiTheme="minorEastAsia" w:eastAsiaTheme="minorEastAsia" w:cstheme="minorEastAsia"/>
          <w:bCs w:val="0"/>
          <w:sz w:val="22"/>
          <w:szCs w:val="15"/>
          <w:highlight w:val="none"/>
        </w:rPr>
        <w:t>采购说明</w:t>
      </w:r>
      <w:bookmarkEnd w:id="9"/>
      <w:bookmarkEnd w:id="10"/>
      <w:bookmarkEnd w:id="11"/>
      <w:bookmarkEnd w:id="12"/>
      <w:bookmarkEnd w:id="13"/>
      <w:bookmarkEnd w:id="14"/>
      <w:bookmarkEnd w:id="15"/>
    </w:p>
    <w:p w14:paraId="320F1E01">
      <w:pPr>
        <w:snapToGrid w:val="0"/>
        <w:spacing w:line="500" w:lineRule="atLeast"/>
        <w:ind w:firstLine="420" w:firstLineChars="200"/>
        <w:rPr>
          <w:rFonts w:hint="eastAsia" w:asciiTheme="minorEastAsia" w:hAnsiTheme="minorEastAsia" w:eastAsiaTheme="minorEastAsia" w:cstheme="minorEastAsia"/>
          <w:szCs w:val="22"/>
          <w:highlight w:val="none"/>
          <w:u w:val="single"/>
        </w:rPr>
      </w:pPr>
      <w:bookmarkStart w:id="16" w:name="_Toc4489_WPSOffice_Level3"/>
      <w:r>
        <w:rPr>
          <w:rFonts w:hint="eastAsia" w:asciiTheme="minorEastAsia" w:hAnsiTheme="minorEastAsia" w:eastAsiaTheme="minorEastAsia" w:cstheme="minorEastAsia"/>
          <w:szCs w:val="22"/>
          <w:highlight w:val="none"/>
        </w:rPr>
        <w:t>2.1 采购方式：</w:t>
      </w:r>
      <w:bookmarkEnd w:id="16"/>
      <w:r>
        <w:rPr>
          <w:rFonts w:hint="eastAsia" w:asciiTheme="minorEastAsia" w:hAnsiTheme="minorEastAsia" w:eastAsiaTheme="minorEastAsia" w:cstheme="minorEastAsia"/>
          <w:szCs w:val="22"/>
          <w:highlight w:val="none"/>
          <w:u w:val="single"/>
        </w:rPr>
        <w:t>公开询比采购</w:t>
      </w:r>
    </w:p>
    <w:p w14:paraId="3C92AAAF">
      <w:pPr>
        <w:snapToGrid w:val="0"/>
        <w:spacing w:line="500" w:lineRule="atLeast"/>
        <w:ind w:firstLine="420" w:firstLineChars="200"/>
        <w:rPr>
          <w:rFonts w:hint="eastAsia" w:asciiTheme="minorEastAsia" w:hAnsiTheme="minorEastAsia" w:eastAsiaTheme="minorEastAsia" w:cstheme="minorEastAsia"/>
          <w:szCs w:val="22"/>
          <w:highlight w:val="none"/>
          <w:u w:val="single"/>
        </w:rPr>
      </w:pPr>
      <w:bookmarkStart w:id="17" w:name="_Toc23266_WPSOffice_Level3"/>
      <w:r>
        <w:rPr>
          <w:rFonts w:hint="eastAsia" w:asciiTheme="minorEastAsia" w:hAnsiTheme="minorEastAsia" w:eastAsiaTheme="minorEastAsia" w:cstheme="minorEastAsia"/>
          <w:szCs w:val="22"/>
          <w:highlight w:val="none"/>
        </w:rPr>
        <w:t>2.2 资金来源及比例：</w:t>
      </w:r>
      <w:bookmarkEnd w:id="17"/>
      <w:bookmarkStart w:id="18" w:name="_Toc22379_WPSOffice_Level3"/>
      <w:r>
        <w:rPr>
          <w:rFonts w:hint="eastAsia" w:asciiTheme="minorEastAsia" w:hAnsiTheme="minorEastAsia" w:eastAsiaTheme="minorEastAsia" w:cstheme="minorEastAsia"/>
          <w:szCs w:val="22"/>
          <w:highlight w:val="none"/>
          <w:u w:val="single"/>
        </w:rPr>
        <w:t>企业自筹</w:t>
      </w:r>
    </w:p>
    <w:p w14:paraId="5DB30206">
      <w:pPr>
        <w:snapToGrid w:val="0"/>
        <w:spacing w:line="500" w:lineRule="atLeast"/>
        <w:ind w:firstLine="420" w:firstLineChars="200"/>
        <w:rPr>
          <w:rFonts w:hint="eastAsia" w:asciiTheme="minorEastAsia" w:hAnsiTheme="minorEastAsia" w:eastAsiaTheme="minorEastAsia" w:cstheme="minorEastAsia"/>
          <w:szCs w:val="22"/>
          <w:highlight w:val="none"/>
          <w:u w:val="single"/>
          <w:lang w:val="en-US" w:eastAsia="zh-CN"/>
        </w:rPr>
      </w:pPr>
      <w:r>
        <w:rPr>
          <w:rFonts w:hint="eastAsia" w:asciiTheme="minorEastAsia" w:hAnsiTheme="minorEastAsia" w:eastAsiaTheme="minorEastAsia" w:cstheme="minorEastAsia"/>
          <w:szCs w:val="22"/>
          <w:highlight w:val="none"/>
        </w:rPr>
        <w:t>2.3 采购范围：</w:t>
      </w:r>
      <w:r>
        <w:rPr>
          <w:rFonts w:hint="eastAsia" w:asciiTheme="minorEastAsia" w:hAnsiTheme="minorEastAsia" w:eastAsiaTheme="minorEastAsia" w:cstheme="minorEastAsia"/>
          <w:szCs w:val="22"/>
          <w:highlight w:val="none"/>
          <w:u w:val="single"/>
          <w:lang w:val="en-US" w:eastAsia="zh-CN"/>
        </w:rPr>
        <w:t>详见《采购清单》</w:t>
      </w:r>
    </w:p>
    <w:p w14:paraId="71B21EAA">
      <w:pPr>
        <w:snapToGrid w:val="0"/>
        <w:spacing w:line="500" w:lineRule="atLeast"/>
        <w:ind w:firstLine="420" w:firstLineChars="200"/>
        <w:rPr>
          <w:rFonts w:hint="eastAsia" w:asciiTheme="minorEastAsia" w:hAnsiTheme="minorEastAsia" w:eastAsiaTheme="minorEastAsia" w:cstheme="minorEastAsia"/>
          <w:szCs w:val="22"/>
          <w:highlight w:val="none"/>
          <w:u w:val="single"/>
          <w:lang w:eastAsia="zh-CN"/>
        </w:rPr>
      </w:pPr>
      <w:r>
        <w:rPr>
          <w:rFonts w:hint="eastAsia" w:asciiTheme="minorEastAsia" w:hAnsiTheme="minorEastAsia" w:eastAsiaTheme="minorEastAsia" w:cstheme="minorEastAsia"/>
          <w:szCs w:val="22"/>
          <w:highlight w:val="none"/>
        </w:rPr>
        <w:t>2.4 合同包划分：</w:t>
      </w:r>
      <w:r>
        <w:rPr>
          <w:rFonts w:hint="eastAsia" w:asciiTheme="minorEastAsia" w:hAnsiTheme="minorEastAsia" w:eastAsiaTheme="minorEastAsia" w:cstheme="minorEastAsia"/>
          <w:szCs w:val="22"/>
          <w:highlight w:val="none"/>
          <w:u w:val="single"/>
          <w:lang w:val="en-US" w:eastAsia="zh-CN"/>
        </w:rPr>
        <w:t>1</w:t>
      </w:r>
      <w:r>
        <w:rPr>
          <w:rFonts w:hint="eastAsia" w:asciiTheme="minorEastAsia" w:hAnsiTheme="minorEastAsia" w:eastAsiaTheme="minorEastAsia" w:cstheme="minorEastAsia"/>
          <w:u w:val="single"/>
        </w:rPr>
        <w:t>个</w:t>
      </w:r>
      <w:r>
        <w:rPr>
          <w:rFonts w:hint="eastAsia" w:asciiTheme="minorEastAsia" w:hAnsiTheme="minorEastAsia" w:eastAsiaTheme="minorEastAsia" w:cstheme="minorEastAsia"/>
          <w:u w:val="single"/>
          <w:lang w:eastAsia="zh-CN"/>
        </w:rPr>
        <w:t>包</w:t>
      </w:r>
    </w:p>
    <w:p w14:paraId="229000D3">
      <w:pPr>
        <w:snapToGrid w:val="0"/>
        <w:spacing w:line="500" w:lineRule="atLeast"/>
        <w:ind w:firstLine="420" w:firstLineChars="200"/>
        <w:rPr>
          <w:rFonts w:hint="eastAsia" w:asciiTheme="minorEastAsia" w:hAnsiTheme="minorEastAsia" w:eastAsiaTheme="minorEastAsia" w:cstheme="minorEastAsia"/>
          <w:color w:val="auto"/>
          <w:szCs w:val="22"/>
          <w:highlight w:val="none"/>
          <w:u w:val="single"/>
          <w:lang w:val="en-US" w:eastAsia="zh-CN"/>
        </w:rPr>
      </w:pPr>
      <w:r>
        <w:rPr>
          <w:rFonts w:hint="eastAsia" w:asciiTheme="minorEastAsia" w:hAnsiTheme="minorEastAsia" w:eastAsiaTheme="minorEastAsia" w:cstheme="minorEastAsia"/>
          <w:szCs w:val="22"/>
          <w:highlight w:val="none"/>
        </w:rPr>
        <w:t>2.5最高限价：</w:t>
      </w:r>
      <w:bookmarkEnd w:id="18"/>
      <w:r>
        <w:rPr>
          <w:rFonts w:hint="eastAsia" w:asciiTheme="minorEastAsia" w:hAnsiTheme="minorEastAsia" w:eastAsiaTheme="minorEastAsia" w:cstheme="minorEastAsia"/>
          <w:highlight w:val="none"/>
          <w:u w:val="single"/>
          <w:lang w:val="en-US" w:eastAsia="zh-CN"/>
        </w:rPr>
        <w:t>52</w:t>
      </w:r>
      <w:r>
        <w:rPr>
          <w:rFonts w:hint="eastAsia" w:asciiTheme="minorEastAsia" w:hAnsiTheme="minorEastAsia" w:eastAsiaTheme="minorEastAsia" w:cstheme="minorEastAsia"/>
          <w:highlight w:val="none"/>
          <w:u w:val="single"/>
        </w:rPr>
        <w:t>万元</w:t>
      </w:r>
      <w:r>
        <w:rPr>
          <w:rFonts w:hint="eastAsia" w:asciiTheme="minorEastAsia" w:hAnsiTheme="minorEastAsia" w:eastAsiaTheme="minorEastAsia" w:cstheme="minorEastAsia"/>
          <w:u w:val="single"/>
          <w:lang w:val="en-US" w:eastAsia="zh-CN"/>
        </w:rPr>
        <w:t xml:space="preserve"> </w:t>
      </w:r>
    </w:p>
    <w:p w14:paraId="19580A8A">
      <w:pPr>
        <w:snapToGrid w:val="0"/>
        <w:spacing w:line="500" w:lineRule="atLeast"/>
        <w:ind w:firstLine="420" w:firstLineChars="200"/>
        <w:rPr>
          <w:rFonts w:hint="eastAsia" w:asciiTheme="minorEastAsia" w:hAnsiTheme="minorEastAsia" w:eastAsiaTheme="minorEastAsia" w:cstheme="minorEastAsia"/>
          <w:szCs w:val="21"/>
          <w:highlight w:val="none"/>
          <w:u w:val="single"/>
          <w:lang w:val="en-US" w:eastAsia="zh-CN"/>
        </w:rPr>
      </w:pPr>
      <w:r>
        <w:rPr>
          <w:rFonts w:hint="eastAsia" w:asciiTheme="minorEastAsia" w:hAnsiTheme="minorEastAsia" w:eastAsiaTheme="minorEastAsia" w:cstheme="minorEastAsia"/>
          <w:szCs w:val="22"/>
          <w:highlight w:val="none"/>
        </w:rPr>
        <w:t>2.6 计划交货期：</w:t>
      </w:r>
      <w:r>
        <w:rPr>
          <w:rFonts w:hint="eastAsia" w:asciiTheme="minorEastAsia" w:hAnsiTheme="minorEastAsia" w:eastAsiaTheme="minorEastAsia" w:cstheme="minorEastAsia"/>
          <w:szCs w:val="21"/>
          <w:highlight w:val="none"/>
          <w:u w:val="single"/>
        </w:rPr>
        <w:t>合同签订之日起</w:t>
      </w:r>
      <w:r>
        <w:rPr>
          <w:rFonts w:hint="eastAsia" w:asciiTheme="minorEastAsia" w:hAnsiTheme="minorEastAsia" w:eastAsiaTheme="minorEastAsia" w:cstheme="minorEastAsia"/>
          <w:szCs w:val="21"/>
          <w:highlight w:val="none"/>
          <w:u w:val="single"/>
          <w:lang w:val="en-US" w:eastAsia="zh-CN"/>
        </w:rPr>
        <w:t>2</w:t>
      </w:r>
      <w:r>
        <w:rPr>
          <w:rFonts w:hint="eastAsia" w:asciiTheme="minorEastAsia" w:hAnsiTheme="minorEastAsia" w:cstheme="minorEastAsia"/>
          <w:szCs w:val="21"/>
          <w:highlight w:val="none"/>
          <w:u w:val="single"/>
          <w:lang w:val="en-US" w:eastAsia="zh-CN"/>
        </w:rPr>
        <w:t>0</w:t>
      </w:r>
      <w:r>
        <w:rPr>
          <w:rFonts w:hint="eastAsia" w:asciiTheme="minorEastAsia" w:hAnsiTheme="minorEastAsia" w:eastAsiaTheme="minorEastAsia" w:cstheme="minorEastAsia"/>
          <w:szCs w:val="21"/>
          <w:highlight w:val="none"/>
          <w:u w:val="single"/>
        </w:rPr>
        <w:t>日</w:t>
      </w:r>
      <w:r>
        <w:rPr>
          <w:rFonts w:hint="eastAsia" w:asciiTheme="minorEastAsia" w:hAnsiTheme="minorEastAsia" w:eastAsiaTheme="minorEastAsia" w:cstheme="minorEastAsia"/>
          <w:szCs w:val="21"/>
          <w:highlight w:val="none"/>
          <w:u w:val="single"/>
          <w:lang w:val="en-US" w:eastAsia="zh-CN"/>
        </w:rPr>
        <w:t xml:space="preserve">内 </w:t>
      </w:r>
    </w:p>
    <w:p w14:paraId="6AE608C4">
      <w:pPr>
        <w:pStyle w:val="3"/>
        <w:numPr>
          <w:ilvl w:val="0"/>
          <w:numId w:val="0"/>
        </w:numPr>
        <w:snapToGrid w:val="0"/>
        <w:spacing w:before="120" w:after="120" w:line="560" w:lineRule="exact"/>
        <w:ind w:left="420"/>
        <w:rPr>
          <w:rFonts w:hint="eastAsia" w:asciiTheme="minorEastAsia" w:hAnsiTheme="minorEastAsia" w:eastAsiaTheme="minorEastAsia" w:cstheme="minorEastAsia"/>
          <w:bCs w:val="0"/>
          <w:sz w:val="22"/>
          <w:szCs w:val="15"/>
        </w:rPr>
      </w:pPr>
      <w:bookmarkStart w:id="19" w:name="_Toc6388"/>
      <w:bookmarkStart w:id="20" w:name="_Toc525632587"/>
      <w:bookmarkStart w:id="21" w:name="_Toc29516_WPSOffice_Level2"/>
      <w:bookmarkStart w:id="22" w:name="_Toc31673_WPSOffice_Level2"/>
      <w:bookmarkStart w:id="23" w:name="_Toc3714"/>
      <w:bookmarkStart w:id="24" w:name="_Toc22379_WPSOffice_Level2"/>
      <w:bookmarkStart w:id="25" w:name="_Toc1622_WPSOffice_Level2"/>
      <w:r>
        <w:rPr>
          <w:rFonts w:hint="eastAsia" w:asciiTheme="minorEastAsia" w:hAnsiTheme="minorEastAsia" w:eastAsiaTheme="minorEastAsia" w:cstheme="minorEastAsia"/>
          <w:b w:val="0"/>
          <w:bCs w:val="0"/>
          <w:sz w:val="21"/>
          <w:szCs w:val="22"/>
        </w:rPr>
        <w:t>3.</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bCs w:val="0"/>
          <w:sz w:val="22"/>
          <w:szCs w:val="15"/>
        </w:rPr>
        <w:t>供应商资格条件</w:t>
      </w:r>
      <w:bookmarkEnd w:id="19"/>
      <w:bookmarkEnd w:id="20"/>
      <w:bookmarkEnd w:id="21"/>
      <w:bookmarkEnd w:id="22"/>
      <w:bookmarkEnd w:id="23"/>
      <w:bookmarkEnd w:id="24"/>
      <w:bookmarkEnd w:id="25"/>
      <w:r>
        <w:rPr>
          <w:rFonts w:hint="eastAsia" w:asciiTheme="minorEastAsia" w:hAnsiTheme="minorEastAsia" w:eastAsiaTheme="minorEastAsia" w:cstheme="minorEastAsia"/>
          <w:bCs w:val="0"/>
          <w:sz w:val="22"/>
          <w:szCs w:val="15"/>
        </w:rPr>
        <w:tab/>
      </w:r>
    </w:p>
    <w:p w14:paraId="3FC6B2D0">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bookmarkStart w:id="26" w:name="_Toc1994"/>
      <w:bookmarkStart w:id="27" w:name="_Toc29452_WPSOffice_Level2"/>
      <w:bookmarkStart w:id="28" w:name="_Toc2996_WPSOffice_Level2"/>
      <w:bookmarkStart w:id="29" w:name="_Toc525632588"/>
      <w:bookmarkStart w:id="30" w:name="_Toc4109_WPSOffice_Level2"/>
      <w:bookmarkStart w:id="31" w:name="_Toc4751"/>
      <w:bookmarkStart w:id="32" w:name="_Toc25666_WPSOffice_Level2"/>
      <w:r>
        <w:rPr>
          <w:rFonts w:hint="eastAsia" w:asciiTheme="minorEastAsia" w:hAnsiTheme="minorEastAsia" w:eastAsiaTheme="minorEastAsia" w:cstheme="minorEastAsia"/>
          <w:szCs w:val="22"/>
        </w:rPr>
        <w:t>3.1 本次采购要求供应商须同时具备：</w:t>
      </w:r>
    </w:p>
    <w:p w14:paraId="107A834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（1）资质最低要求：</w:t>
      </w:r>
    </w:p>
    <w:p w14:paraId="7565D63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color w:val="auto"/>
          <w:szCs w:val="22"/>
        </w:rPr>
        <w:t>①</w:t>
      </w:r>
      <w:r>
        <w:rPr>
          <w:rFonts w:hint="eastAsia" w:asciiTheme="minorEastAsia" w:hAnsiTheme="minorEastAsia" w:eastAsiaTheme="minorEastAsia" w:cstheme="minorEastAsia"/>
          <w:szCs w:val="22"/>
        </w:rPr>
        <w:t>供应商应具备独立法人资格，持有有效的营业执照；</w:t>
      </w:r>
    </w:p>
    <w:p w14:paraId="3894D2D5">
      <w:pPr>
        <w:pStyle w:val="15"/>
        <w:keepNext w:val="0"/>
        <w:keepLines w:val="0"/>
        <w:pageBreakBefore w:val="0"/>
        <w:widowControl w:val="0"/>
        <w:kinsoku/>
        <w:wordWrap/>
        <w:overflowPunct/>
        <w:topLinePunct w:val="0"/>
        <w:autoSpaceDE/>
        <w:autoSpaceDN/>
        <w:bidi w:val="0"/>
        <w:adjustRightInd/>
        <w:spacing w:after="0" w:line="500" w:lineRule="exact"/>
        <w:ind w:left="0" w:leftChars="0" w:firstLine="420" w:firstLineChars="200"/>
        <w:textAlignment w:val="auto"/>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②家具：制造商和授权代理商均可参加本次询比，制造商的授权代理商参加询比的，应具备制造厂家授权书</w:t>
      </w:r>
      <w:r>
        <w:rPr>
          <w:rFonts w:hint="eastAsia" w:asciiTheme="minorEastAsia" w:hAnsiTheme="minorEastAsia" w:eastAsiaTheme="minorEastAsia" w:cstheme="minorEastAsia"/>
          <w:color w:val="auto"/>
          <w:lang w:eastAsia="zh-CN"/>
        </w:rPr>
        <w:t>，</w:t>
      </w:r>
      <w:r>
        <w:rPr>
          <w:rFonts w:hint="eastAsia" w:asciiTheme="minorEastAsia" w:hAnsiTheme="minorEastAsia" w:eastAsiaTheme="minorEastAsia" w:cstheme="minorEastAsia"/>
          <w:color w:val="auto"/>
        </w:rPr>
        <w:t>需要提供有效期内的授权书扫描件。</w:t>
      </w:r>
    </w:p>
    <w:p w14:paraId="1C127E8F">
      <w:pPr>
        <w:keepNext w:val="0"/>
        <w:keepLines w:val="0"/>
        <w:pageBreakBefore w:val="0"/>
        <w:widowControl/>
        <w:shd w:val="clear" w:color="auto" w:fill="FFFFFF"/>
        <w:kinsoku/>
        <w:wordWrap/>
        <w:overflowPunct/>
        <w:topLinePunct w:val="0"/>
        <w:autoSpaceDE/>
        <w:autoSpaceDN/>
        <w:bidi w:val="0"/>
        <w:adjustRightInd/>
        <w:spacing w:beforeAutospacing="0" w:afterAutospacing="0" w:line="500" w:lineRule="exact"/>
        <w:ind w:firstLine="420"/>
        <w:jc w:val="left"/>
        <w:textAlignment w:val="auto"/>
        <w:rPr>
          <w:rFonts w:hint="eastAsia" w:asciiTheme="minorEastAsia" w:hAnsiTheme="minorEastAsia" w:eastAsiaTheme="minorEastAsia" w:cstheme="minorEastAsia"/>
          <w:color w:val="auto"/>
          <w:kern w:val="0"/>
          <w:sz w:val="21"/>
          <w:szCs w:val="21"/>
          <w:lang w:val="en-US" w:eastAsia="zh-CN" w:bidi="ar-SA"/>
        </w:rPr>
      </w:pPr>
      <w:r>
        <w:rPr>
          <w:rFonts w:hint="eastAsia" w:asciiTheme="minorEastAsia" w:hAnsiTheme="minorEastAsia" w:eastAsiaTheme="minorEastAsia" w:cstheme="minorEastAsia"/>
          <w:color w:val="auto"/>
          <w:kern w:val="0"/>
          <w:sz w:val="21"/>
          <w:szCs w:val="22"/>
          <w:lang w:val="en-US" w:eastAsia="zh-CN" w:bidi="ar-SA"/>
        </w:rPr>
        <w:t>（2）</w:t>
      </w:r>
      <w:r>
        <w:rPr>
          <w:rFonts w:hint="eastAsia" w:asciiTheme="minorEastAsia" w:hAnsiTheme="minorEastAsia" w:eastAsiaTheme="minorEastAsia" w:cstheme="minorEastAsia"/>
          <w:color w:val="auto"/>
          <w:kern w:val="0"/>
          <w:sz w:val="21"/>
          <w:szCs w:val="21"/>
          <w:shd w:val="clear" w:color="auto" w:fill="FFFFFF"/>
          <w:lang w:val="en-US" w:eastAsia="zh-CN" w:bidi="ar-SA"/>
        </w:rPr>
        <w:t>业绩最低要求：</w:t>
      </w:r>
    </w:p>
    <w:p w14:paraId="47CE755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auto"/>
          <w:szCs w:val="22"/>
          <w:highlight w:val="none"/>
          <w:lang w:eastAsia="zh-CN"/>
        </w:rPr>
      </w:pPr>
      <w:r>
        <w:rPr>
          <w:rFonts w:hint="eastAsia" w:asciiTheme="minorEastAsia" w:hAnsiTheme="minorEastAsia" w:eastAsiaTheme="minorEastAsia" w:cstheme="minorEastAsia"/>
          <w:color w:val="auto"/>
          <w:szCs w:val="22"/>
          <w:highlight w:val="none"/>
        </w:rPr>
        <w:t>近3年（指2021年</w:t>
      </w:r>
      <w:r>
        <w:rPr>
          <w:rFonts w:hint="eastAsia" w:asciiTheme="minorEastAsia" w:hAnsiTheme="minorEastAsia" w:cstheme="minorEastAsia"/>
          <w:color w:val="auto"/>
          <w:szCs w:val="22"/>
          <w:highlight w:val="none"/>
          <w:lang w:val="en-US" w:eastAsia="zh-CN"/>
        </w:rPr>
        <w:t>1</w:t>
      </w:r>
      <w:r>
        <w:rPr>
          <w:rFonts w:hint="eastAsia" w:asciiTheme="minorEastAsia" w:hAnsiTheme="minorEastAsia" w:eastAsiaTheme="minorEastAsia" w:cstheme="minorEastAsia"/>
          <w:color w:val="auto"/>
          <w:szCs w:val="22"/>
          <w:highlight w:val="none"/>
        </w:rPr>
        <w:t>月1日至投标文件递交截止时间</w:t>
      </w:r>
      <w:r>
        <w:rPr>
          <w:rFonts w:hint="eastAsia" w:asciiTheme="minorEastAsia" w:hAnsiTheme="minorEastAsia" w:eastAsiaTheme="minorEastAsia" w:cstheme="minorEastAsia"/>
          <w:color w:val="auto"/>
          <w:szCs w:val="22"/>
          <w:highlight w:val="none"/>
          <w:lang w:eastAsia="zh-CN"/>
        </w:rPr>
        <w:t>，</w:t>
      </w:r>
      <w:r>
        <w:rPr>
          <w:rFonts w:hint="eastAsia" w:asciiTheme="minorEastAsia" w:hAnsiTheme="minorEastAsia" w:eastAsiaTheme="minorEastAsia" w:cstheme="minorEastAsia"/>
          <w:color w:val="auto"/>
          <w:szCs w:val="22"/>
          <w:highlight w:val="none"/>
        </w:rPr>
        <w:t>以合同签订时间为准），制造商或授权代理商独立完成过1个单项合同价不少于</w:t>
      </w:r>
      <w:r>
        <w:rPr>
          <w:rFonts w:hint="eastAsia" w:asciiTheme="minorEastAsia" w:hAnsiTheme="minorEastAsia" w:eastAsiaTheme="minorEastAsia" w:cstheme="minorEastAsia"/>
          <w:color w:val="auto"/>
          <w:szCs w:val="22"/>
          <w:highlight w:val="none"/>
          <w:lang w:val="en-US" w:eastAsia="zh-CN"/>
        </w:rPr>
        <w:t>50</w:t>
      </w:r>
      <w:r>
        <w:rPr>
          <w:rFonts w:hint="eastAsia" w:asciiTheme="minorEastAsia" w:hAnsiTheme="minorEastAsia" w:eastAsiaTheme="minorEastAsia" w:cstheme="minorEastAsia"/>
          <w:color w:val="auto"/>
          <w:szCs w:val="22"/>
          <w:highlight w:val="none"/>
        </w:rPr>
        <w:t>万元的办公家具销售业绩</w:t>
      </w:r>
      <w:r>
        <w:rPr>
          <w:rFonts w:hint="eastAsia" w:asciiTheme="minorEastAsia" w:hAnsiTheme="minorEastAsia" w:eastAsiaTheme="minorEastAsia" w:cstheme="minorEastAsia"/>
          <w:color w:val="auto"/>
          <w:szCs w:val="22"/>
        </w:rPr>
        <w:t>（业绩证明材料须提供合同扫描件，如不能体现签订时间、</w:t>
      </w:r>
      <w:r>
        <w:rPr>
          <w:rFonts w:hint="eastAsia" w:asciiTheme="minorEastAsia" w:hAnsiTheme="minorEastAsia" w:eastAsiaTheme="minorEastAsia" w:cstheme="minorEastAsia"/>
          <w:color w:val="auto"/>
          <w:szCs w:val="22"/>
          <w:lang w:val="en-US" w:eastAsia="zh-CN"/>
        </w:rPr>
        <w:t>合同金额</w:t>
      </w:r>
      <w:r>
        <w:rPr>
          <w:rFonts w:hint="eastAsia" w:asciiTheme="minorEastAsia" w:hAnsiTheme="minorEastAsia" w:eastAsiaTheme="minorEastAsia" w:cstheme="minorEastAsia"/>
          <w:color w:val="auto"/>
          <w:szCs w:val="22"/>
        </w:rPr>
        <w:t>等关键评审信息的，须另附业主证明材料，业绩时间以合同签订日期为准）</w:t>
      </w:r>
      <w:r>
        <w:rPr>
          <w:rFonts w:hint="eastAsia" w:asciiTheme="minorEastAsia" w:hAnsiTheme="minorEastAsia" w:eastAsiaTheme="minorEastAsia" w:cstheme="minorEastAsia"/>
          <w:color w:val="auto"/>
          <w:szCs w:val="22"/>
          <w:highlight w:val="none"/>
          <w:lang w:eastAsia="zh-CN"/>
        </w:rPr>
        <w:t>；</w:t>
      </w:r>
    </w:p>
    <w:p w14:paraId="05B6D0EF">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auto"/>
          <w:szCs w:val="22"/>
        </w:rPr>
      </w:pPr>
      <w:r>
        <w:rPr>
          <w:rFonts w:hint="eastAsia" w:asciiTheme="minorEastAsia" w:hAnsiTheme="minorEastAsia" w:eastAsiaTheme="minorEastAsia" w:cstheme="minorEastAsia"/>
          <w:color w:val="auto"/>
          <w:szCs w:val="22"/>
        </w:rPr>
        <w:t>（3）信誉要求最低要求：</w:t>
      </w:r>
    </w:p>
    <w:p w14:paraId="58207166">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①未被责令停业，暂扣或吊销执照，或吊销资质证书；</w:t>
      </w:r>
    </w:p>
    <w:p w14:paraId="6C41F80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szCs w:val="22"/>
        </w:rPr>
        <w:t>②未进入清算程序，或被宣告破产，或其他丧失履约能力的情形；</w:t>
      </w:r>
    </w:p>
    <w:p w14:paraId="196215DF">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③在国家企业信用信息公示系统（http://www.gsxt.gov.cn）中未被列入严重违法失信企业名单；</w:t>
      </w:r>
    </w:p>
    <w:p w14:paraId="6DCF23DE">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④在“信用中国”网站（http://www.creditchina.gov.cn）中未被列入失信被执行人名单；</w:t>
      </w:r>
    </w:p>
    <w:p w14:paraId="7AC73531">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⑤在近三年内（自响应文件递交截止之日向前追溯3年）供应商或其法定代表人未有行贿犯罪行为；</w:t>
      </w:r>
    </w:p>
    <w:p w14:paraId="5C1383DD">
      <w:pPr>
        <w:pStyle w:val="15"/>
        <w:keepNext w:val="0"/>
        <w:keepLines w:val="0"/>
        <w:pageBreakBefore w:val="0"/>
        <w:kinsoku/>
        <w:wordWrap/>
        <w:overflowPunct/>
        <w:topLinePunct w:val="0"/>
        <w:autoSpaceDE/>
        <w:autoSpaceDN/>
        <w:bidi w:val="0"/>
        <w:adjustRightInd/>
        <w:spacing w:after="0" w:line="500" w:lineRule="exact"/>
        <w:ind w:left="0" w:leftChars="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shd w:val="clear" w:color="auto" w:fill="FFFFFF"/>
        </w:rPr>
        <w:t>⑥其他要求：没有法律法规规定的其他违规情形。</w:t>
      </w:r>
    </w:p>
    <w:p w14:paraId="4187F61D">
      <w:pPr>
        <w:keepNext w:val="0"/>
        <w:keepLines w:val="0"/>
        <w:pageBreakBefore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 w:val="18"/>
          <w:szCs w:val="21"/>
        </w:rPr>
      </w:pPr>
      <w:r>
        <w:rPr>
          <w:rFonts w:hint="eastAsia" w:asciiTheme="minorEastAsia" w:hAnsiTheme="minorEastAsia" w:eastAsiaTheme="minorEastAsia" w:cstheme="minorEastAsia"/>
          <w:szCs w:val="22"/>
        </w:rPr>
        <w:t>3.2 联合体：本次采购不接受联合体报价。</w:t>
      </w:r>
    </w:p>
    <w:p w14:paraId="642B5B71">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szCs w:val="22"/>
        </w:rPr>
      </w:pPr>
      <w:r>
        <w:rPr>
          <w:rFonts w:hint="eastAsia" w:asciiTheme="minorEastAsia" w:hAnsiTheme="minorEastAsia" w:eastAsiaTheme="minorEastAsia" w:cstheme="minorEastAsia"/>
          <w:szCs w:val="22"/>
        </w:rPr>
        <w:t>3.3 单位负责人为同一人或者存在控股、管理关系的不同单位，不得同时参加同一合同包报价，否则相关响应文件均无效。</w:t>
      </w:r>
    </w:p>
    <w:p w14:paraId="3A5AC79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szCs w:val="22"/>
          <w:lang w:val="en-US" w:eastAsia="zh-CN"/>
        </w:rPr>
        <w:t>3.4 同一品牌同一型号产品只接受一个供应商参加本次询比，同一品牌同一型号产品的制造商与代理商，或者同一品牌同一型号产品的多个代理商(多于1个)不得同时参加本项目同一个合同包询比，否则相关响应文件均将被否决。</w:t>
      </w:r>
    </w:p>
    <w:bookmarkEnd w:id="26"/>
    <w:bookmarkEnd w:id="27"/>
    <w:bookmarkEnd w:id="28"/>
    <w:bookmarkEnd w:id="29"/>
    <w:bookmarkEnd w:id="30"/>
    <w:bookmarkEnd w:id="31"/>
    <w:bookmarkEnd w:id="32"/>
    <w:p w14:paraId="06C4BDF9">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val="0"/>
          <w:bCs w:val="0"/>
          <w:strike w:val="0"/>
          <w:dstrike w:val="0"/>
          <w:color w:val="000000" w:themeColor="text1"/>
          <w:kern w:val="2"/>
          <w:sz w:val="21"/>
          <w:szCs w:val="21"/>
          <w:lang w:val="en-US" w:eastAsia="zh-CN" w:bidi="ar-SA"/>
          <w14:textFill>
            <w14:solidFill>
              <w14:schemeClr w14:val="tx1"/>
            </w14:solidFill>
          </w14:textFill>
        </w:rPr>
      </w:pPr>
      <w:r>
        <w:rPr>
          <w:rFonts w:hint="eastAsia" w:asciiTheme="minorEastAsia" w:hAnsiTheme="minorEastAsia" w:eastAsiaTheme="minorEastAsia" w:cstheme="minorEastAsia"/>
          <w:b/>
          <w:bCs w:val="0"/>
          <w:kern w:val="2"/>
          <w:sz w:val="22"/>
          <w:szCs w:val="15"/>
          <w:lang w:val="en-US" w:eastAsia="zh-CN" w:bidi="ar-SA"/>
        </w:rPr>
        <w:t>询比文件的获取</w:t>
      </w:r>
      <w:bookmarkStart w:id="33" w:name="_Toc525632589"/>
      <w:bookmarkStart w:id="34" w:name="_Toc726"/>
    </w:p>
    <w:p w14:paraId="5F4DE11B">
      <w:pPr>
        <w:keepNext/>
        <w:keepLines/>
        <w:pageBreakBefore w:val="0"/>
        <w:widowControl w:val="0"/>
        <w:numPr>
          <w:ilvl w:val="0"/>
          <w:numId w:val="0"/>
        </w:numPr>
        <w:kinsoku/>
        <w:wordWrap/>
        <w:overflowPunct/>
        <w:topLinePunct w:val="0"/>
        <w:autoSpaceDE/>
        <w:autoSpaceDN/>
        <w:bidi w:val="0"/>
        <w:adjustRightInd/>
        <w:snapToGrid w:val="0"/>
        <w:spacing w:line="500" w:lineRule="exact"/>
        <w:ind w:firstLine="420" w:firstLineChars="200"/>
        <w:textAlignment w:val="auto"/>
        <w:outlineLvl w:val="9"/>
        <w:rPr>
          <w:rFonts w:hint="eastAsia" w:asciiTheme="minorEastAsia" w:hAnsiTheme="minorEastAsia" w:eastAsiaTheme="minorEastAsia" w:cstheme="minorEastAsia"/>
          <w:b w:val="0"/>
          <w:bCs w:val="0"/>
          <w:strike w:val="0"/>
          <w:dstrike w:val="0"/>
          <w:color w:val="auto"/>
          <w:kern w:val="2"/>
          <w:sz w:val="21"/>
          <w:szCs w:val="21"/>
          <w:highlight w:val="green"/>
          <w:lang w:val="en-US" w:eastAsia="zh-CN" w:bidi="ar-SA"/>
        </w:rPr>
      </w:pPr>
      <w:r>
        <w:rPr>
          <w:rFonts w:hint="eastAsia" w:asciiTheme="minorEastAsia" w:hAnsiTheme="minorEastAsia" w:eastAsiaTheme="minorEastAsia" w:cstheme="minorEastAsia"/>
          <w:b w:val="0"/>
          <w:bCs w:val="0"/>
          <w:strike w:val="0"/>
          <w:dstrike w:val="0"/>
          <w:color w:val="auto"/>
          <w:kern w:val="2"/>
          <w:sz w:val="21"/>
          <w:szCs w:val="21"/>
          <w:highlight w:val="none"/>
          <w:lang w:val="en-US" w:eastAsia="zh-CN" w:bidi="ar-SA"/>
        </w:rPr>
        <w:t>供应商应在递交响应文件的截止时间前登录安徽交运集团网站（http://www.ahjyjt.com.cn/），选择所参加的合同包，自行下载询比文件及相关资料。</w:t>
      </w:r>
    </w:p>
    <w:p w14:paraId="3E26C30D">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响应文件的递交</w:t>
      </w:r>
      <w:bookmarkEnd w:id="33"/>
      <w:bookmarkEnd w:id="34"/>
    </w:p>
    <w:p w14:paraId="4D8E3FD5">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000000" w:themeColor="text1"/>
          <w:szCs w:val="22"/>
          <w:highlight w:val="none"/>
          <w14:textFill>
            <w14:solidFill>
              <w14:schemeClr w14:val="tx1"/>
            </w14:solidFill>
          </w14:textFill>
        </w:rPr>
      </w:pPr>
      <w:r>
        <w:rPr>
          <w:rFonts w:hint="eastAsia" w:asciiTheme="minorEastAsia" w:hAnsiTheme="minorEastAsia" w:eastAsiaTheme="minorEastAsia" w:cstheme="minorEastAsia"/>
          <w:color w:val="auto"/>
          <w:szCs w:val="22"/>
          <w:highlight w:val="none"/>
        </w:rPr>
        <w:t>响应文件递交的截止时间为</w:t>
      </w:r>
      <w:r>
        <w:rPr>
          <w:rFonts w:hint="eastAsia" w:asciiTheme="minorEastAsia" w:hAnsiTheme="minorEastAsia" w:eastAsiaTheme="minorEastAsia" w:cstheme="minorEastAsia"/>
          <w:color w:val="auto"/>
          <w:szCs w:val="22"/>
          <w:highlight w:val="none"/>
          <w:u w:val="single"/>
        </w:rPr>
        <w:t>202</w:t>
      </w:r>
      <w:r>
        <w:rPr>
          <w:rFonts w:hint="eastAsia" w:asciiTheme="minorEastAsia" w:hAnsiTheme="minorEastAsia" w:eastAsiaTheme="minorEastAsia" w:cstheme="minorEastAsia"/>
          <w:color w:val="auto"/>
          <w:szCs w:val="22"/>
          <w:highlight w:val="none"/>
          <w:u w:val="single"/>
          <w:lang w:val="en-US" w:eastAsia="zh-CN"/>
        </w:rPr>
        <w:t>4</w:t>
      </w:r>
      <w:r>
        <w:rPr>
          <w:rFonts w:hint="eastAsia" w:asciiTheme="minorEastAsia" w:hAnsiTheme="minorEastAsia" w:eastAsiaTheme="minorEastAsia" w:cstheme="minorEastAsia"/>
          <w:color w:val="auto"/>
          <w:szCs w:val="22"/>
          <w:highlight w:val="none"/>
        </w:rPr>
        <w:t>年</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eastAsiaTheme="minorEastAsia" w:cstheme="minorEastAsia"/>
          <w:color w:val="auto"/>
          <w:szCs w:val="22"/>
          <w:highlight w:val="none"/>
          <w:u w:val="single"/>
          <w:lang w:val="en-US" w:eastAsia="zh-CN"/>
        </w:rPr>
        <w:t>12</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eastAsiaTheme="minorEastAsia" w:cstheme="minorEastAsia"/>
          <w:color w:val="auto"/>
          <w:szCs w:val="22"/>
          <w:highlight w:val="none"/>
        </w:rPr>
        <w:t>月</w:t>
      </w:r>
      <w:r>
        <w:rPr>
          <w:rFonts w:hint="eastAsia" w:asciiTheme="minorEastAsia" w:hAnsiTheme="minorEastAsia" w:eastAsiaTheme="minorEastAsia" w:cstheme="minorEastAsia"/>
          <w:color w:val="auto"/>
          <w:szCs w:val="22"/>
          <w:highlight w:val="none"/>
          <w:u w:val="single"/>
        </w:rPr>
        <w:t xml:space="preserve"> </w:t>
      </w:r>
      <w:r>
        <w:rPr>
          <w:rFonts w:hint="eastAsia" w:asciiTheme="minorEastAsia" w:hAnsiTheme="minorEastAsia" w:cstheme="minorEastAsia"/>
          <w:color w:val="auto"/>
          <w:szCs w:val="22"/>
          <w:highlight w:val="none"/>
          <w:u w:val="single"/>
          <w:lang w:val="en-US" w:eastAsia="zh-CN"/>
        </w:rPr>
        <w:t>20</w:t>
      </w:r>
      <w:r>
        <w:rPr>
          <w:rFonts w:hint="eastAsia" w:asciiTheme="minorEastAsia" w:hAnsiTheme="minorEastAsia" w:eastAsiaTheme="minorEastAsia" w:cstheme="minorEastAsia"/>
          <w:color w:val="auto"/>
          <w:szCs w:val="22"/>
          <w:highlight w:val="none"/>
          <w:u w:val="single"/>
          <w:lang w:val="en-US" w:eastAsia="zh-CN"/>
        </w:rPr>
        <w:t xml:space="preserve"> </w:t>
      </w:r>
      <w:r>
        <w:rPr>
          <w:rFonts w:hint="eastAsia" w:asciiTheme="minorEastAsia" w:hAnsiTheme="minorEastAsia" w:eastAsiaTheme="minorEastAsia" w:cstheme="minorEastAsia"/>
          <w:color w:val="auto"/>
          <w:szCs w:val="22"/>
          <w:highlight w:val="none"/>
        </w:rPr>
        <w:t>日</w:t>
      </w:r>
      <w:r>
        <w:rPr>
          <w:rFonts w:hint="eastAsia" w:asciiTheme="minorEastAsia" w:hAnsiTheme="minorEastAsia" w:eastAsiaTheme="minorEastAsia" w:cstheme="minorEastAsia"/>
          <w:color w:val="auto"/>
          <w:szCs w:val="22"/>
          <w:highlight w:val="none"/>
          <w:u w:val="single"/>
          <w:lang w:val="en-US" w:eastAsia="zh-CN"/>
        </w:rPr>
        <w:t xml:space="preserve"> 10</w:t>
      </w:r>
      <w:r>
        <w:rPr>
          <w:rFonts w:hint="eastAsia" w:asciiTheme="minorEastAsia" w:hAnsiTheme="minorEastAsia" w:eastAsiaTheme="minorEastAsia" w:cstheme="minorEastAsia"/>
          <w:color w:val="auto"/>
          <w:szCs w:val="22"/>
          <w:highlight w:val="none"/>
        </w:rPr>
        <w:t>时</w:t>
      </w:r>
      <w:r>
        <w:rPr>
          <w:rFonts w:hint="eastAsia" w:asciiTheme="minorEastAsia" w:hAnsiTheme="minorEastAsia" w:eastAsiaTheme="minorEastAsia" w:cstheme="minorEastAsia"/>
          <w:color w:val="auto"/>
          <w:szCs w:val="22"/>
          <w:highlight w:val="none"/>
          <w:u w:val="single"/>
          <w:lang w:val="en-US" w:eastAsia="zh-CN"/>
        </w:rPr>
        <w:t xml:space="preserve"> 00</w:t>
      </w:r>
      <w:r>
        <w:rPr>
          <w:rFonts w:hint="eastAsia" w:asciiTheme="minorEastAsia" w:hAnsiTheme="minorEastAsia" w:eastAsiaTheme="minorEastAsia" w:cstheme="minorEastAsia"/>
          <w:color w:val="auto"/>
          <w:szCs w:val="22"/>
          <w:highlight w:val="none"/>
        </w:rPr>
        <w:t>分，</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供应商的法定代表人或其授权代理人应于截止时间前将响应文件递交至</w:t>
      </w:r>
      <w:r>
        <w:rPr>
          <w:rFonts w:hint="eastAsia" w:asciiTheme="minorEastAsia" w:hAnsiTheme="minorEastAsia" w:eastAsiaTheme="minorEastAsia" w:cstheme="minorEastAsia"/>
          <w:color w:val="000000" w:themeColor="text1"/>
          <w:szCs w:val="22"/>
          <w:highlight w:val="none"/>
          <w:u w:val="single"/>
          <w14:textFill>
            <w14:solidFill>
              <w14:schemeClr w14:val="tx1"/>
            </w14:solidFill>
          </w14:textFill>
        </w:rPr>
        <w:t>合肥市胜利路35号，交通饭店三楼汽车销售有限公司</w:t>
      </w:r>
      <w:r>
        <w:rPr>
          <w:rFonts w:hint="eastAsia" w:asciiTheme="minorEastAsia" w:hAnsiTheme="minorEastAsia" w:eastAsiaTheme="minorEastAsia" w:cstheme="minorEastAsia"/>
          <w:color w:val="000000" w:themeColor="text1"/>
          <w:szCs w:val="22"/>
          <w:highlight w:val="none"/>
          <w14:textFill>
            <w14:solidFill>
              <w14:schemeClr w14:val="tx1"/>
            </w14:solidFill>
          </w14:textFill>
        </w:rPr>
        <w:t>（地点）。</w:t>
      </w:r>
    </w:p>
    <w:p w14:paraId="19100C98">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pPr>
      <w:bookmarkStart w:id="35" w:name="_Toc22719"/>
      <w:bookmarkStart w:id="36" w:name="_Toc525632591"/>
      <w:r>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t>响应文件启封</w:t>
      </w:r>
    </w:p>
    <w:p w14:paraId="31519EB9">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响应文件的递交截止时间到后，采购人将于</w:t>
      </w:r>
      <w:r>
        <w:rPr>
          <w:rFonts w:hint="eastAsia" w:asciiTheme="minorEastAsia" w:hAnsiTheme="minorEastAsia" w:eastAsiaTheme="minorEastAsia" w:cstheme="minorEastAsia"/>
          <w:color w:val="000000" w:themeColor="text1"/>
          <w:szCs w:val="22"/>
          <w:u w:val="single"/>
          <w14:textFill>
            <w14:solidFill>
              <w14:schemeClr w14:val="tx1"/>
            </w14:solidFill>
          </w14:textFill>
        </w:rPr>
        <w:t>交通饭店三楼会议室</w:t>
      </w:r>
      <w:r>
        <w:rPr>
          <w:rFonts w:hint="eastAsia" w:asciiTheme="minorEastAsia" w:hAnsiTheme="minorEastAsia" w:eastAsiaTheme="minorEastAsia" w:cstheme="minorEastAsia"/>
          <w:color w:val="000000" w:themeColor="text1"/>
          <w:szCs w:val="22"/>
          <w14:textFill>
            <w14:solidFill>
              <w14:schemeClr w14:val="tx1"/>
            </w14:solidFill>
          </w14:textFill>
        </w:rPr>
        <w:t>（地点）组织进行响应文件的启封。供应商的法定代表人或授权代理人应携带本人身份证、授权代理人应携带授权委托书准时参加启封会议。</w:t>
      </w:r>
    </w:p>
    <w:p w14:paraId="41E2E531">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响应保证金</w:t>
      </w:r>
    </w:p>
    <w:p w14:paraId="2A63AE06">
      <w:pPr>
        <w:pStyle w:val="5"/>
        <w:keepNext w:val="0"/>
        <w:keepLines w:val="0"/>
        <w:pageBreakBefore w:val="0"/>
        <w:widowControl w:val="0"/>
        <w:kinsoku/>
        <w:wordWrap/>
        <w:overflowPunct/>
        <w:topLinePunct w:val="0"/>
        <w:autoSpaceDE/>
        <w:autoSpaceDN/>
        <w:bidi w:val="0"/>
        <w:adjustRightInd/>
        <w:spacing w:after="0" w:line="500" w:lineRule="exact"/>
        <w:ind w:firstLine="42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本项目无响应保证金，需发响应报名表进行报名。</w:t>
      </w:r>
    </w:p>
    <w:p w14:paraId="0FCC8967">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在202</w:t>
      </w:r>
      <w:r>
        <w:rPr>
          <w:rFonts w:hint="eastAsia" w:asciiTheme="minorEastAsia" w:hAnsiTheme="minorEastAsia" w:eastAsiaTheme="minorEastAsia" w:cstheme="minorEastAsia"/>
          <w:color w:val="auto"/>
          <w:highlight w:val="none"/>
          <w:lang w:val="en-US" w:eastAsia="zh-CN"/>
        </w:rPr>
        <w:t>4</w:t>
      </w:r>
      <w:r>
        <w:rPr>
          <w:rFonts w:hint="eastAsia" w:asciiTheme="minorEastAsia" w:hAnsiTheme="minorEastAsia" w:eastAsiaTheme="minorEastAsia" w:cstheme="minorEastAsia"/>
          <w:color w:val="auto"/>
          <w:highlight w:val="none"/>
        </w:rPr>
        <w:t>年</w:t>
      </w:r>
      <w:r>
        <w:rPr>
          <w:rFonts w:hint="eastAsia" w:asciiTheme="minorEastAsia" w:hAnsiTheme="minorEastAsia" w:eastAsiaTheme="minorEastAsia" w:cstheme="minorEastAsia"/>
          <w:color w:val="auto"/>
          <w:highlight w:val="none"/>
          <w:u w:val="single"/>
          <w:lang w:val="en-US" w:eastAsia="zh-CN"/>
        </w:rPr>
        <w:t xml:space="preserve"> 12 </w:t>
      </w:r>
      <w:r>
        <w:rPr>
          <w:rFonts w:hint="eastAsia" w:asciiTheme="minorEastAsia" w:hAnsiTheme="minorEastAsia" w:eastAsiaTheme="minorEastAsia" w:cstheme="minorEastAsia"/>
          <w:color w:val="auto"/>
          <w:highlight w:val="none"/>
        </w:rPr>
        <w:t>月</w:t>
      </w:r>
      <w:r>
        <w:rPr>
          <w:rFonts w:hint="eastAsia" w:asciiTheme="minorEastAsia" w:hAnsiTheme="minorEastAsia" w:eastAsiaTheme="minorEastAsia" w:cstheme="minorEastAsia"/>
          <w:color w:val="auto"/>
          <w:highlight w:val="none"/>
          <w:u w:val="single"/>
          <w:lang w:val="en-US" w:eastAsia="zh-CN"/>
        </w:rPr>
        <w:t xml:space="preserve"> 1</w:t>
      </w:r>
      <w:r>
        <w:rPr>
          <w:rFonts w:hint="eastAsia" w:asciiTheme="minorEastAsia" w:hAnsiTheme="minorEastAsia" w:cstheme="minorEastAsia"/>
          <w:color w:val="auto"/>
          <w:highlight w:val="none"/>
          <w:u w:val="single"/>
          <w:lang w:val="en-US" w:eastAsia="zh-CN"/>
        </w:rPr>
        <w:t xml:space="preserve">9 </w:t>
      </w:r>
      <w:r>
        <w:rPr>
          <w:rFonts w:hint="eastAsia" w:asciiTheme="minorEastAsia" w:hAnsiTheme="minorEastAsia" w:eastAsiaTheme="minorEastAsia" w:cstheme="minorEastAsia"/>
          <w:color w:val="auto"/>
          <w:highlight w:val="none"/>
        </w:rPr>
        <w:t>日 15 ：00前，将响应报名表发送至</w:t>
      </w:r>
      <w:r>
        <w:rPr>
          <w:rFonts w:hint="eastAsia" w:asciiTheme="minorEastAsia" w:hAnsiTheme="minorEastAsia" w:eastAsiaTheme="minorEastAsia" w:cstheme="minorEastAsia"/>
          <w:color w:val="auto"/>
          <w:highlight w:val="none"/>
        </w:rPr>
        <w:fldChar w:fldCharType="begin"/>
      </w:r>
      <w:r>
        <w:rPr>
          <w:rFonts w:hint="eastAsia" w:asciiTheme="minorEastAsia" w:hAnsiTheme="minorEastAsia" w:eastAsiaTheme="minorEastAsia" w:cstheme="minorEastAsia"/>
          <w:color w:val="auto"/>
          <w:highlight w:val="none"/>
        </w:rPr>
        <w:instrText xml:space="preserve"> HYPERLINK "mailto:ahjyxs@163.com" </w:instrText>
      </w:r>
      <w:r>
        <w:rPr>
          <w:rFonts w:hint="eastAsia" w:asciiTheme="minorEastAsia" w:hAnsiTheme="minorEastAsia" w:eastAsiaTheme="minorEastAsia" w:cstheme="minorEastAsia"/>
          <w:color w:val="auto"/>
          <w:highlight w:val="none"/>
        </w:rPr>
        <w:fldChar w:fldCharType="separate"/>
      </w:r>
      <w:r>
        <w:rPr>
          <w:rStyle w:val="22"/>
          <w:rFonts w:hint="eastAsia" w:asciiTheme="minorEastAsia" w:hAnsiTheme="minorEastAsia" w:eastAsiaTheme="minorEastAsia" w:cstheme="minorEastAsia"/>
          <w:color w:val="auto"/>
          <w:szCs w:val="22"/>
          <w:highlight w:val="none"/>
        </w:rPr>
        <w:t>ahjyxs@163.com</w:t>
      </w:r>
      <w:r>
        <w:rPr>
          <w:rStyle w:val="22"/>
          <w:rFonts w:hint="eastAsia" w:asciiTheme="minorEastAsia" w:hAnsiTheme="minorEastAsia" w:eastAsiaTheme="minorEastAsia" w:cstheme="minorEastAsia"/>
          <w:color w:val="auto"/>
          <w:szCs w:val="22"/>
          <w:highlight w:val="none"/>
        </w:rPr>
        <w:fldChar w:fldCharType="end"/>
      </w:r>
      <w:r>
        <w:rPr>
          <w:rFonts w:hint="eastAsia" w:asciiTheme="minorEastAsia" w:hAnsiTheme="minorEastAsia" w:eastAsiaTheme="minorEastAsia" w:cstheme="minorEastAsia"/>
          <w:color w:val="auto"/>
          <w:szCs w:val="22"/>
          <w:highlight w:val="none"/>
        </w:rPr>
        <w:t>进行确认报名。</w:t>
      </w:r>
    </w:p>
    <w:p w14:paraId="78120A14">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kern w:val="2"/>
          <w:sz w:val="22"/>
          <w:szCs w:val="15"/>
          <w:lang w:val="en-US" w:eastAsia="zh-CN" w:bidi="ar-SA"/>
        </w:rPr>
      </w:pPr>
      <w:r>
        <w:rPr>
          <w:rFonts w:hint="eastAsia" w:asciiTheme="minorEastAsia" w:hAnsiTheme="minorEastAsia" w:eastAsiaTheme="minorEastAsia" w:cstheme="minorEastAsia"/>
          <w:b/>
          <w:bCs w:val="0"/>
          <w:kern w:val="2"/>
          <w:sz w:val="22"/>
          <w:szCs w:val="15"/>
          <w:lang w:val="en-US" w:eastAsia="zh-CN" w:bidi="ar-SA"/>
        </w:rPr>
        <w:t>发布公告的媒介</w:t>
      </w:r>
    </w:p>
    <w:p w14:paraId="552E845F">
      <w:pPr>
        <w:snapToGrid w:val="0"/>
        <w:spacing w:line="56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2"/>
        </w:rPr>
        <w:t>本次采购公告在安徽交运集团网站（</w:t>
      </w:r>
      <w:r>
        <w:rPr>
          <w:rFonts w:hint="eastAsia" w:asciiTheme="minorEastAsia" w:hAnsiTheme="minorEastAsia" w:eastAsiaTheme="minorEastAsia" w:cstheme="minorEastAsia"/>
          <w:szCs w:val="21"/>
        </w:rPr>
        <w:t>http://www.ahjyjt.com.cn/</w:t>
      </w:r>
      <w:r>
        <w:rPr>
          <w:rFonts w:hint="eastAsia" w:asciiTheme="minorEastAsia" w:hAnsiTheme="minorEastAsia" w:eastAsiaTheme="minorEastAsia" w:cstheme="minorEastAsia"/>
          <w:szCs w:val="22"/>
        </w:rPr>
        <w:t>）上发布。</w:t>
      </w:r>
    </w:p>
    <w:bookmarkEnd w:id="35"/>
    <w:bookmarkEnd w:id="36"/>
    <w:p w14:paraId="63605B3D">
      <w:pPr>
        <w:keepNext/>
        <w:keepLines/>
        <w:widowControl w:val="0"/>
        <w:numPr>
          <w:ilvl w:val="0"/>
          <w:numId w:val="2"/>
        </w:numPr>
        <w:snapToGrid w:val="0"/>
        <w:spacing w:before="120" w:after="120" w:line="560" w:lineRule="exact"/>
        <w:ind w:firstLine="403"/>
        <w:jc w:val="both"/>
        <w:outlineLvl w:val="1"/>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pPr>
      <w:bookmarkStart w:id="37" w:name="_Toc14943_WPSOffice_Level2"/>
      <w:bookmarkStart w:id="38" w:name="_Toc26829"/>
      <w:bookmarkStart w:id="39" w:name="_Toc8501"/>
      <w:bookmarkStart w:id="40" w:name="_Toc321_WPSOffice_Level2"/>
      <w:bookmarkStart w:id="41" w:name="_Toc28571_WPSOffice_Level2"/>
      <w:bookmarkStart w:id="42" w:name="_Toc20572_WPSOffice_Level2"/>
      <w:bookmarkStart w:id="43" w:name="_Toc525632592"/>
      <w:r>
        <w:rPr>
          <w:rFonts w:hint="eastAsia" w:asciiTheme="minorEastAsia" w:hAnsiTheme="minorEastAsia" w:eastAsiaTheme="minorEastAsia" w:cstheme="minorEastAsia"/>
          <w:b/>
          <w:bCs w:val="0"/>
          <w:color w:val="000000" w:themeColor="text1"/>
          <w:kern w:val="2"/>
          <w:sz w:val="22"/>
          <w:szCs w:val="15"/>
          <w:lang w:val="en-US" w:eastAsia="zh-CN" w:bidi="ar-SA"/>
          <w14:textFill>
            <w14:solidFill>
              <w14:schemeClr w14:val="tx1"/>
            </w14:solidFill>
          </w14:textFill>
        </w:rPr>
        <w:t>采购人联系方式</w:t>
      </w:r>
      <w:bookmarkEnd w:id="37"/>
      <w:bookmarkEnd w:id="38"/>
      <w:bookmarkEnd w:id="39"/>
      <w:bookmarkEnd w:id="40"/>
      <w:bookmarkEnd w:id="41"/>
      <w:bookmarkEnd w:id="42"/>
      <w:bookmarkEnd w:id="43"/>
    </w:p>
    <w:p w14:paraId="68C0FE4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采购人：</w:t>
      </w:r>
      <w:r>
        <w:rPr>
          <w:rFonts w:hint="eastAsia" w:asciiTheme="minorEastAsia" w:hAnsiTheme="minorEastAsia" w:eastAsiaTheme="minorEastAsia" w:cstheme="minorEastAsia"/>
          <w:color w:val="000000" w:themeColor="text1"/>
          <w:szCs w:val="22"/>
          <w:u w:val="single"/>
          <w14:textFill>
            <w14:solidFill>
              <w14:schemeClr w14:val="tx1"/>
            </w14:solidFill>
          </w14:textFill>
        </w:rPr>
        <w:t>安徽交运集团汽车销售有限公司</w:t>
      </w:r>
    </w:p>
    <w:p w14:paraId="26B2C7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地</w:t>
      </w:r>
      <w:r>
        <w:rPr>
          <w:rFonts w:hint="eastAsia" w:asciiTheme="minorEastAsia" w:hAnsiTheme="minorEastAsia" w:eastAsiaTheme="minorEastAsia" w:cstheme="minorEastAsia"/>
          <w:color w:val="000000" w:themeColor="text1"/>
          <w:szCs w:val="22"/>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Cs w:val="22"/>
          <w14:textFill>
            <w14:solidFill>
              <w14:schemeClr w14:val="tx1"/>
            </w14:solidFill>
          </w14:textFill>
        </w:rPr>
        <w:t>址：</w:t>
      </w:r>
      <w:r>
        <w:rPr>
          <w:rFonts w:hint="eastAsia" w:asciiTheme="minorEastAsia" w:hAnsiTheme="minorEastAsia" w:eastAsiaTheme="minorEastAsia" w:cstheme="minorEastAsia"/>
          <w:color w:val="000000" w:themeColor="text1"/>
          <w:szCs w:val="22"/>
          <w:u w:val="single"/>
          <w14:textFill>
            <w14:solidFill>
              <w14:schemeClr w14:val="tx1"/>
            </w14:solidFill>
          </w14:textFill>
        </w:rPr>
        <w:t>合肥市胜利路35号交通饭店</w:t>
      </w:r>
    </w:p>
    <w:p w14:paraId="61B761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14:textFill>
            <w14:solidFill>
              <w14:schemeClr w14:val="tx1"/>
            </w14:solidFill>
          </w14:textFill>
        </w:rPr>
      </w:pPr>
      <w:r>
        <w:rPr>
          <w:rFonts w:hint="eastAsia" w:asciiTheme="minorEastAsia" w:hAnsiTheme="minorEastAsia" w:eastAsiaTheme="minorEastAsia" w:cstheme="minorEastAsia"/>
          <w:color w:val="000000" w:themeColor="text1"/>
          <w:szCs w:val="22"/>
          <w14:textFill>
            <w14:solidFill>
              <w14:schemeClr w14:val="tx1"/>
            </w14:solidFill>
          </w14:textFill>
        </w:rPr>
        <w:t>邮政编码：</w:t>
      </w:r>
      <w:r>
        <w:rPr>
          <w:rFonts w:hint="eastAsia" w:asciiTheme="minorEastAsia" w:hAnsiTheme="minorEastAsia" w:eastAsiaTheme="minorEastAsia" w:cstheme="minorEastAsia"/>
          <w:color w:val="000000" w:themeColor="text1"/>
          <w:szCs w:val="22"/>
          <w:u w:val="single"/>
          <w14:textFill>
            <w14:solidFill>
              <w14:schemeClr w14:val="tx1"/>
            </w14:solidFill>
          </w14:textFill>
        </w:rPr>
        <w:t>230011</w:t>
      </w:r>
    </w:p>
    <w:p w14:paraId="3696D360">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auto"/>
          <w:szCs w:val="22"/>
          <w:u w:val="single"/>
          <w:lang w:val="en-US" w:eastAsia="zh-CN"/>
        </w:rPr>
      </w:pPr>
      <w:r>
        <w:rPr>
          <w:rFonts w:hint="eastAsia" w:asciiTheme="minorEastAsia" w:hAnsiTheme="minorEastAsia" w:eastAsiaTheme="minorEastAsia" w:cstheme="minorEastAsia"/>
          <w:color w:val="000000" w:themeColor="text1"/>
          <w:szCs w:val="22"/>
          <w14:textFill>
            <w14:solidFill>
              <w14:schemeClr w14:val="tx1"/>
            </w14:solidFill>
          </w14:textFill>
        </w:rPr>
        <w:t>联</w:t>
      </w:r>
      <w:r>
        <w:rPr>
          <w:rFonts w:hint="eastAsia" w:asciiTheme="minorEastAsia" w:hAnsiTheme="minorEastAsia" w:eastAsiaTheme="minorEastAsia" w:cstheme="minorEastAsia"/>
          <w:color w:val="auto"/>
          <w:szCs w:val="22"/>
        </w:rPr>
        <w:t>系人：</w:t>
      </w:r>
      <w:r>
        <w:rPr>
          <w:rFonts w:hint="eastAsia" w:asciiTheme="minorEastAsia" w:hAnsiTheme="minorEastAsia" w:eastAsiaTheme="minorEastAsia" w:cstheme="minorEastAsia"/>
          <w:color w:val="auto"/>
          <w:szCs w:val="22"/>
          <w:u w:val="single"/>
          <w:lang w:val="en-US" w:eastAsia="zh-CN"/>
        </w:rPr>
        <w:t>高洋</w:t>
      </w:r>
    </w:p>
    <w:p w14:paraId="7DAD66A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auto"/>
          <w:szCs w:val="22"/>
          <w:u w:val="single"/>
          <w:lang w:val="en-US" w:eastAsia="zh-CN"/>
        </w:rPr>
      </w:pPr>
      <w:r>
        <w:rPr>
          <w:rFonts w:hint="eastAsia" w:asciiTheme="minorEastAsia" w:hAnsiTheme="minorEastAsia" w:eastAsiaTheme="minorEastAsia" w:cstheme="minorEastAsia"/>
          <w:color w:val="auto"/>
          <w:szCs w:val="22"/>
        </w:rPr>
        <w:t>电话：</w:t>
      </w:r>
      <w:r>
        <w:rPr>
          <w:rFonts w:hint="eastAsia" w:asciiTheme="minorEastAsia" w:hAnsiTheme="minorEastAsia" w:eastAsiaTheme="minorEastAsia" w:cstheme="minorEastAsia"/>
          <w:color w:val="auto"/>
          <w:szCs w:val="22"/>
          <w:u w:val="single"/>
          <w:lang w:val="en-US" w:eastAsia="zh-CN"/>
        </w:rPr>
        <w:t xml:space="preserve"> 13856069870 </w:t>
      </w:r>
    </w:p>
    <w:p w14:paraId="4FF931C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Cs w:val="22"/>
          <w:u w:val="single"/>
          <w14:textFill>
            <w14:solidFill>
              <w14:schemeClr w14:val="tx1"/>
            </w14:solidFill>
          </w14:textFill>
        </w:rPr>
      </w:pPr>
      <w:r>
        <w:rPr>
          <w:rFonts w:hint="eastAsia" w:asciiTheme="minorEastAsia" w:hAnsiTheme="minorEastAsia" w:eastAsiaTheme="minorEastAsia" w:cstheme="minorEastAsia"/>
          <w:color w:val="000000" w:themeColor="text1"/>
          <w:szCs w:val="22"/>
          <w:u w:val="none"/>
          <w14:textFill>
            <w14:solidFill>
              <w14:schemeClr w14:val="tx1"/>
            </w14:solidFill>
          </w14:textFill>
        </w:rPr>
        <w:t>电子邮箱：</w:t>
      </w:r>
      <w:r>
        <w:rPr>
          <w:rFonts w:hint="eastAsia" w:asciiTheme="minorEastAsia" w:hAnsiTheme="minorEastAsia" w:eastAsiaTheme="minorEastAsia" w:cstheme="minorEastAsia"/>
          <w:color w:val="000000" w:themeColor="text1"/>
          <w:szCs w:val="22"/>
          <w:u w:val="single"/>
          <w14:textFill>
            <w14:solidFill>
              <w14:schemeClr w14:val="tx1"/>
            </w14:solidFill>
          </w14:textFill>
        </w:rPr>
        <w:t>ahjyxs@163.com</w:t>
      </w:r>
    </w:p>
    <w:p w14:paraId="6840E10F">
      <w:pPr>
        <w:widowControl w:val="0"/>
        <w:autoSpaceDE w:val="0"/>
        <w:autoSpaceDN w:val="0"/>
        <w:jc w:val="center"/>
        <w:rPr>
          <w:rFonts w:hint="eastAsia" w:asciiTheme="minorEastAsia" w:hAnsiTheme="minorEastAsia" w:eastAsiaTheme="minorEastAsia" w:cstheme="minorEastAsia"/>
          <w:color w:val="000000" w:themeColor="text1"/>
          <w:sz w:val="21"/>
          <w:szCs w:val="22"/>
          <w:lang w:val="en-US" w:eastAsia="zh-CN" w:bidi="ar-SA"/>
          <w14:textFill>
            <w14:solidFill>
              <w14:schemeClr w14:val="tx1"/>
            </w14:solidFill>
          </w14:textFill>
        </w:rPr>
      </w:pPr>
    </w:p>
    <w:p w14:paraId="0D2E56A0">
      <w:pPr>
        <w:widowControl w:val="0"/>
        <w:autoSpaceDE w:val="0"/>
        <w:autoSpaceDN w:val="0"/>
        <w:jc w:val="cente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lang w:val="en-US" w:eastAsia="zh-CN" w:bidi="ar-SA"/>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w:t>
      </w:r>
    </w:p>
    <w:p w14:paraId="73BD1B46">
      <w:pPr>
        <w:widowControl w:val="0"/>
        <w:autoSpaceDE w:val="0"/>
        <w:autoSpaceDN w:val="0"/>
        <w:jc w:val="cente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p>
    <w:p w14:paraId="21652ABB">
      <w:pPr>
        <w:widowControl w:val="0"/>
        <w:autoSpaceDE w:val="0"/>
        <w:autoSpaceDN w:val="0"/>
        <w:jc w:val="right"/>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w:t>
      </w:r>
    </w:p>
    <w:p w14:paraId="791E2AA0">
      <w:pPr>
        <w:widowControl w:val="0"/>
        <w:autoSpaceDE w:val="0"/>
        <w:autoSpaceDN w:val="0"/>
        <w:jc w:val="right"/>
        <w:rPr>
          <w:rFonts w:hint="eastAsia" w:asciiTheme="minorEastAsia" w:hAnsiTheme="minorEastAsia" w:eastAsiaTheme="minorEastAsia" w:cstheme="minorEastAsia"/>
          <w:color w:val="000000" w:themeColor="text1"/>
          <w:sz w:val="24"/>
          <w:szCs w:val="28"/>
          <w:highlight w:val="none"/>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2024 年 12 月 1</w:t>
      </w:r>
      <w:r>
        <w:rPr>
          <w:rFonts w:hint="eastAsia" w:asciiTheme="minorEastAsia" w:hAnsiTheme="minorEastAsia" w:cstheme="minorEastAsia"/>
          <w:color w:val="000000" w:themeColor="text1"/>
          <w:sz w:val="21"/>
          <w:szCs w:val="22"/>
          <w:highlight w:val="none"/>
          <w:lang w:val="en-US" w:eastAsia="zh-CN" w:bidi="ar-SA"/>
          <w14:textFill>
            <w14:solidFill>
              <w14:schemeClr w14:val="tx1"/>
            </w14:solidFill>
          </w14:textFill>
        </w:rPr>
        <w:t>4</w:t>
      </w:r>
      <w:r>
        <w:rPr>
          <w:rFonts w:hint="eastAsia" w:asciiTheme="minorEastAsia" w:hAnsiTheme="minorEastAsia" w:eastAsiaTheme="minorEastAsia" w:cstheme="minorEastAsia"/>
          <w:color w:val="000000" w:themeColor="text1"/>
          <w:sz w:val="21"/>
          <w:szCs w:val="22"/>
          <w:highlight w:val="none"/>
          <w:lang w:val="en-US" w:eastAsia="zh-CN" w:bidi="ar-SA"/>
          <w14:textFill>
            <w14:solidFill>
              <w14:schemeClr w14:val="tx1"/>
            </w14:solidFill>
          </w14:textFill>
        </w:rPr>
        <w:t xml:space="preserve"> 日</w:t>
      </w:r>
    </w:p>
    <w:p w14:paraId="0616BAA7">
      <w:pPr>
        <w:rPr>
          <w:rFonts w:hint="eastAsia" w:ascii="Times New Roman" w:hAnsi="Times New Roman" w:eastAsia="宋体" w:cs="Times New Roman"/>
          <w:color w:val="auto"/>
          <w:highlight w:val="none"/>
          <w:lang w:val="en-US" w:eastAsia="zh-CN"/>
        </w:rPr>
        <w:sectPr>
          <w:footerReference r:id="rId3" w:type="default"/>
          <w:pgSz w:w="11906" w:h="16838"/>
          <w:pgMar w:top="1440" w:right="1800" w:bottom="1440" w:left="1800" w:header="851" w:footer="992" w:gutter="0"/>
          <w:cols w:space="425" w:num="1"/>
          <w:docGrid w:type="lines" w:linePitch="312" w:charSpace="0"/>
        </w:sectPr>
      </w:pPr>
    </w:p>
    <w:p w14:paraId="4BBFA2AE">
      <w:pPr>
        <w:widowControl/>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响 应 报 名 表</w:t>
      </w:r>
    </w:p>
    <w:p w14:paraId="1B63F737">
      <w:pPr>
        <w:pStyle w:val="5"/>
        <w:rPr>
          <w:rFonts w:hint="eastAsia" w:asciiTheme="minorEastAsia" w:hAnsiTheme="minorEastAsia" w:eastAsiaTheme="minorEastAsia" w:cstheme="minorEastAsia"/>
        </w:rPr>
      </w:pPr>
    </w:p>
    <w:p w14:paraId="4C33BDF9">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报名日期：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              评审时间：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tbl>
      <w:tblPr>
        <w:tblStyle w:val="16"/>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4075A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F637BA3">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项目名称</w:t>
            </w:r>
          </w:p>
        </w:tc>
        <w:tc>
          <w:tcPr>
            <w:tcW w:w="8259" w:type="dxa"/>
            <w:gridSpan w:val="3"/>
            <w:vAlign w:val="center"/>
          </w:tcPr>
          <w:p w14:paraId="5C434F29">
            <w:pPr>
              <w:snapToGrid w:val="0"/>
              <w:spacing w:line="380" w:lineRule="exact"/>
              <w:jc w:val="center"/>
              <w:rPr>
                <w:rFonts w:hint="eastAsia" w:asciiTheme="minorEastAsia" w:hAnsiTheme="minorEastAsia" w:eastAsiaTheme="minorEastAsia" w:cstheme="minorEastAsia"/>
                <w:bCs/>
                <w:szCs w:val="21"/>
              </w:rPr>
            </w:pPr>
          </w:p>
        </w:tc>
      </w:tr>
      <w:tr w14:paraId="177A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1CEB5293">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供应商名称</w:t>
            </w:r>
          </w:p>
          <w:p w14:paraId="1F5B7490">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（与公章一致）</w:t>
            </w:r>
          </w:p>
        </w:tc>
        <w:tc>
          <w:tcPr>
            <w:tcW w:w="8259" w:type="dxa"/>
            <w:gridSpan w:val="3"/>
            <w:vAlign w:val="center"/>
          </w:tcPr>
          <w:p w14:paraId="75487B3B">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加盖公章</w:t>
            </w:r>
          </w:p>
        </w:tc>
      </w:tr>
      <w:tr w14:paraId="52F04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CE3CCB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供应商地址</w:t>
            </w:r>
          </w:p>
        </w:tc>
        <w:tc>
          <w:tcPr>
            <w:tcW w:w="8259" w:type="dxa"/>
            <w:gridSpan w:val="3"/>
            <w:vAlign w:val="center"/>
          </w:tcPr>
          <w:p w14:paraId="188371A1">
            <w:pPr>
              <w:spacing w:line="360" w:lineRule="exact"/>
              <w:rPr>
                <w:rFonts w:hint="eastAsia" w:asciiTheme="minorEastAsia" w:hAnsiTheme="minorEastAsia" w:eastAsiaTheme="minorEastAsia" w:cstheme="minorEastAsia"/>
                <w:bCs/>
                <w:szCs w:val="21"/>
              </w:rPr>
            </w:pPr>
          </w:p>
        </w:tc>
      </w:tr>
      <w:tr w14:paraId="457E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B29267B">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法定代表人</w:t>
            </w:r>
          </w:p>
        </w:tc>
        <w:tc>
          <w:tcPr>
            <w:tcW w:w="3396" w:type="dxa"/>
            <w:vAlign w:val="center"/>
          </w:tcPr>
          <w:p w14:paraId="0552AB78">
            <w:pPr>
              <w:spacing w:line="360" w:lineRule="exact"/>
              <w:rPr>
                <w:rFonts w:hint="eastAsia" w:asciiTheme="minorEastAsia" w:hAnsiTheme="minorEastAsia" w:eastAsiaTheme="minorEastAsia" w:cstheme="minorEastAsia"/>
                <w:bCs/>
                <w:szCs w:val="21"/>
              </w:rPr>
            </w:pPr>
          </w:p>
        </w:tc>
        <w:tc>
          <w:tcPr>
            <w:tcW w:w="1506" w:type="dxa"/>
            <w:vAlign w:val="center"/>
          </w:tcPr>
          <w:p w14:paraId="2C88B40D">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联系电话</w:t>
            </w:r>
          </w:p>
        </w:tc>
        <w:tc>
          <w:tcPr>
            <w:tcW w:w="3357" w:type="dxa"/>
            <w:vAlign w:val="center"/>
          </w:tcPr>
          <w:p w14:paraId="7E34426C">
            <w:pPr>
              <w:spacing w:line="360" w:lineRule="exact"/>
              <w:rPr>
                <w:rFonts w:hint="eastAsia" w:asciiTheme="minorEastAsia" w:hAnsiTheme="minorEastAsia" w:eastAsiaTheme="minorEastAsia" w:cstheme="minorEastAsia"/>
                <w:bCs/>
                <w:szCs w:val="21"/>
              </w:rPr>
            </w:pPr>
          </w:p>
        </w:tc>
      </w:tr>
      <w:tr w14:paraId="4CF7E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B88A658">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投标负责人</w:t>
            </w:r>
          </w:p>
        </w:tc>
        <w:tc>
          <w:tcPr>
            <w:tcW w:w="3396" w:type="dxa"/>
            <w:vAlign w:val="center"/>
          </w:tcPr>
          <w:p w14:paraId="4FDAE01F">
            <w:pPr>
              <w:spacing w:line="360" w:lineRule="exact"/>
              <w:rPr>
                <w:rFonts w:hint="eastAsia" w:asciiTheme="minorEastAsia" w:hAnsiTheme="minorEastAsia" w:eastAsiaTheme="minorEastAsia" w:cstheme="minorEastAsia"/>
                <w:bCs/>
                <w:szCs w:val="21"/>
              </w:rPr>
            </w:pPr>
          </w:p>
        </w:tc>
        <w:tc>
          <w:tcPr>
            <w:tcW w:w="1506" w:type="dxa"/>
            <w:vAlign w:val="center"/>
          </w:tcPr>
          <w:p w14:paraId="13C181DA">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投标负责人</w:t>
            </w:r>
          </w:p>
          <w:p w14:paraId="6C183E1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手机号</w:t>
            </w:r>
          </w:p>
        </w:tc>
        <w:tc>
          <w:tcPr>
            <w:tcW w:w="3357" w:type="dxa"/>
            <w:vAlign w:val="center"/>
          </w:tcPr>
          <w:p w14:paraId="7044DD75">
            <w:pPr>
              <w:spacing w:line="360" w:lineRule="exact"/>
              <w:rPr>
                <w:rFonts w:hint="eastAsia" w:asciiTheme="minorEastAsia" w:hAnsiTheme="minorEastAsia" w:eastAsiaTheme="minorEastAsia" w:cstheme="minorEastAsia"/>
                <w:bCs/>
                <w:szCs w:val="21"/>
              </w:rPr>
            </w:pPr>
          </w:p>
        </w:tc>
      </w:tr>
      <w:tr w14:paraId="2ED2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FACDB1A">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电子邮箱</w:t>
            </w:r>
          </w:p>
        </w:tc>
        <w:tc>
          <w:tcPr>
            <w:tcW w:w="3396" w:type="dxa"/>
            <w:vAlign w:val="center"/>
          </w:tcPr>
          <w:p w14:paraId="2B45C22A">
            <w:pPr>
              <w:spacing w:line="360" w:lineRule="exact"/>
              <w:rPr>
                <w:rFonts w:hint="eastAsia" w:asciiTheme="minorEastAsia" w:hAnsiTheme="minorEastAsia" w:eastAsiaTheme="minorEastAsia" w:cstheme="minorEastAsia"/>
                <w:bCs/>
                <w:szCs w:val="21"/>
              </w:rPr>
            </w:pPr>
          </w:p>
        </w:tc>
        <w:tc>
          <w:tcPr>
            <w:tcW w:w="1506" w:type="dxa"/>
            <w:vAlign w:val="center"/>
          </w:tcPr>
          <w:p w14:paraId="0AB55F36">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公司传真</w:t>
            </w:r>
          </w:p>
        </w:tc>
        <w:tc>
          <w:tcPr>
            <w:tcW w:w="3357" w:type="dxa"/>
            <w:vAlign w:val="center"/>
          </w:tcPr>
          <w:p w14:paraId="154DFBDC">
            <w:pPr>
              <w:spacing w:line="360" w:lineRule="exact"/>
              <w:rPr>
                <w:rFonts w:hint="eastAsia" w:asciiTheme="minorEastAsia" w:hAnsiTheme="minorEastAsia" w:eastAsiaTheme="minorEastAsia" w:cstheme="minorEastAsia"/>
                <w:bCs/>
                <w:szCs w:val="21"/>
              </w:rPr>
            </w:pPr>
          </w:p>
        </w:tc>
      </w:tr>
      <w:tr w14:paraId="47F0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18E81B64">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是否符合本项目的资质要求</w:t>
            </w:r>
          </w:p>
          <w:p w14:paraId="5AD57CDF">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注：填写“是”或“否”。</w:t>
            </w:r>
          </w:p>
        </w:tc>
        <w:tc>
          <w:tcPr>
            <w:tcW w:w="4863" w:type="dxa"/>
            <w:gridSpan w:val="2"/>
            <w:vAlign w:val="center"/>
          </w:tcPr>
          <w:p w14:paraId="2D4443D0">
            <w:pPr>
              <w:spacing w:line="360" w:lineRule="exact"/>
              <w:jc w:val="center"/>
              <w:rPr>
                <w:rFonts w:hint="eastAsia" w:asciiTheme="minorEastAsia" w:hAnsiTheme="minorEastAsia" w:eastAsiaTheme="minorEastAsia" w:cstheme="minorEastAsia"/>
                <w:bCs/>
                <w:szCs w:val="21"/>
              </w:rPr>
            </w:pPr>
          </w:p>
        </w:tc>
      </w:tr>
      <w:tr w14:paraId="3B18A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F5E5E9D">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供应商参与包组情况</w:t>
            </w:r>
          </w:p>
          <w:p w14:paraId="126CFE14">
            <w:pPr>
              <w:spacing w:line="360" w:lineRule="exac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注：根据招标文件包号填写。</w:t>
            </w:r>
          </w:p>
        </w:tc>
        <w:tc>
          <w:tcPr>
            <w:tcW w:w="4863" w:type="dxa"/>
            <w:gridSpan w:val="2"/>
            <w:vAlign w:val="center"/>
          </w:tcPr>
          <w:p w14:paraId="2917C999">
            <w:pPr>
              <w:spacing w:line="360" w:lineRule="exact"/>
              <w:jc w:val="center"/>
              <w:rPr>
                <w:rFonts w:hint="eastAsia" w:asciiTheme="minorEastAsia" w:hAnsiTheme="minorEastAsia" w:eastAsiaTheme="minorEastAsia" w:cstheme="minorEastAsia"/>
                <w:bCs/>
                <w:szCs w:val="21"/>
              </w:rPr>
            </w:pPr>
          </w:p>
        </w:tc>
      </w:tr>
      <w:tr w14:paraId="3675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DA14DCC">
            <w:pPr>
              <w:spacing w:line="360" w:lineRule="exact"/>
              <w:jc w:val="center"/>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备注</w:t>
            </w:r>
          </w:p>
        </w:tc>
        <w:tc>
          <w:tcPr>
            <w:tcW w:w="8867" w:type="dxa"/>
            <w:gridSpan w:val="4"/>
            <w:vAlign w:val="center"/>
          </w:tcPr>
          <w:p w14:paraId="264EFB10">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szCs w:val="21"/>
              </w:rPr>
              <w:t>1、所有获取文件的供应商，若有意参投本项目，须同时提供以下资料并发送至邮箱</w:t>
            </w:r>
            <w:r>
              <w:rPr>
                <w:rFonts w:hint="eastAsia" w:asciiTheme="minorEastAsia" w:hAnsiTheme="minorEastAsia" w:eastAsiaTheme="minorEastAsia" w:cstheme="minorEastAsia"/>
                <w:color w:val="000000" w:themeColor="text1"/>
                <w:highlight w:val="none"/>
                <w14:textFill>
                  <w14:solidFill>
                    <w14:schemeClr w14:val="tx1"/>
                  </w14:solidFill>
                </w14:textFill>
              </w:rPr>
              <w:fldChar w:fldCharType="begin"/>
            </w:r>
            <w:r>
              <w:rPr>
                <w:rFonts w:hint="eastAsia" w:asciiTheme="minorEastAsia" w:hAnsiTheme="minorEastAsia" w:eastAsiaTheme="minorEastAsia" w:cstheme="minorEastAsia"/>
                <w:color w:val="000000" w:themeColor="text1"/>
                <w:highlight w:val="none"/>
                <w14:textFill>
                  <w14:solidFill>
                    <w14:schemeClr w14:val="tx1"/>
                  </w14:solidFill>
                </w14:textFill>
              </w:rPr>
              <w:instrText xml:space="preserve"> HYPERLINK "mailto:ahjyxs@163.com" </w:instrText>
            </w:r>
            <w:r>
              <w:rPr>
                <w:rFonts w:hint="eastAsia" w:asciiTheme="minorEastAsia" w:hAnsiTheme="minorEastAsia" w:eastAsiaTheme="minorEastAsia" w:cstheme="minorEastAsia"/>
                <w:color w:val="000000" w:themeColor="text1"/>
                <w:highlight w:val="none"/>
                <w14:textFill>
                  <w14:solidFill>
                    <w14:schemeClr w14:val="tx1"/>
                  </w14:solidFill>
                </w14:textFill>
              </w:rPr>
              <w:fldChar w:fldCharType="separate"/>
            </w:r>
            <w:r>
              <w:rPr>
                <w:rStyle w:val="22"/>
                <w:rFonts w:hint="eastAsia" w:asciiTheme="minorEastAsia" w:hAnsiTheme="minorEastAsia" w:eastAsiaTheme="minorEastAsia" w:cstheme="minorEastAsia"/>
                <w:color w:val="000000" w:themeColor="text1"/>
                <w:szCs w:val="21"/>
                <w:highlight w:val="none"/>
                <w14:textFill>
                  <w14:solidFill>
                    <w14:schemeClr w14:val="tx1"/>
                  </w14:solidFill>
                </w14:textFill>
              </w:rPr>
              <w:t>ahjyxs@163.com</w:t>
            </w:r>
            <w:r>
              <w:rPr>
                <w:rStyle w:val="22"/>
                <w:rFonts w:hint="eastAsia" w:asciiTheme="minorEastAsia" w:hAnsiTheme="minorEastAsia" w:eastAsiaTheme="minorEastAsia" w:cstheme="minorEastAsia"/>
                <w:color w:val="000000" w:themeColor="text1"/>
                <w:szCs w:val="21"/>
                <w:highlight w:val="none"/>
                <w14:textFill>
                  <w14:solidFill>
                    <w14:schemeClr w14:val="tx1"/>
                  </w14:solidFill>
                </w14:textFill>
              </w:rPr>
              <w:fldChar w:fldCharType="end"/>
            </w: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w:t>
            </w:r>
          </w:p>
          <w:p w14:paraId="4E235F2E">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①已填写完整的《响应报名表》；</w:t>
            </w:r>
          </w:p>
          <w:p w14:paraId="75E3E78F">
            <w:p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②营业执照复印件并加盖公章。</w:t>
            </w:r>
          </w:p>
          <w:p w14:paraId="58B1186D">
            <w:pPr>
              <w:numPr>
                <w:ilvl w:val="0"/>
                <w:numId w:val="3"/>
              </w:num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报名单位须与投标单位名称一致，否则报名无效。</w:t>
            </w:r>
          </w:p>
          <w:p w14:paraId="158D5523">
            <w:pPr>
              <w:numPr>
                <w:ilvl w:val="0"/>
                <w:numId w:val="3"/>
              </w:numPr>
              <w:spacing w:line="360" w:lineRule="exact"/>
              <w:jc w:val="left"/>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报名单位须在询比文件要求的报名截止时间前报名（以招标人收到邮件时间为准），否则报名无效。</w:t>
            </w:r>
          </w:p>
          <w:p w14:paraId="71198477">
            <w:pPr>
              <w:pStyle w:val="5"/>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color w:val="000000" w:themeColor="text1"/>
                <w:szCs w:val="21"/>
                <w:highlight w:val="none"/>
                <w14:textFill>
                  <w14:solidFill>
                    <w14:schemeClr w14:val="tx1"/>
                  </w14:solidFill>
                </w14:textFill>
              </w:rPr>
              <w:t>4、报名人在提交响应报名表后</w:t>
            </w:r>
            <w:r>
              <w:rPr>
                <w:rFonts w:hint="eastAsia" w:asciiTheme="minorEastAsia" w:hAnsiTheme="minorEastAsia" w:eastAsiaTheme="minorEastAsia" w:cstheme="minorEastAsia"/>
                <w:color w:val="000000" w:themeColor="text1"/>
                <w:szCs w:val="21"/>
                <w:highlight w:val="none"/>
                <w14:textFill>
                  <w14:solidFill>
                    <w14:schemeClr w14:val="tx1"/>
                  </w14:solidFill>
                </w14:textFill>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1A135E4">
      <w:pPr>
        <w:spacing w:line="560" w:lineRule="exact"/>
        <w:rPr>
          <w:rFonts w:ascii="宋体" w:hAnsi="宋体" w:eastAsia="宋体" w:cs="宋体"/>
          <w:sz w:val="24"/>
        </w:rPr>
      </w:pPr>
    </w:p>
    <w:p w14:paraId="2E514E95">
      <w:pPr>
        <w:pStyle w:val="24"/>
        <w:jc w:val="center"/>
        <w:rPr>
          <w:rFonts w:hint="default" w:ascii="Times New Roman" w:hAnsi="Times New Roman"/>
          <w:color w:val="auto"/>
          <w:sz w:val="21"/>
          <w:szCs w:val="22"/>
        </w:rPr>
      </w:pPr>
    </w:p>
    <w:p w14:paraId="6CF13F6D">
      <w:pPr>
        <w:pStyle w:val="24"/>
        <w:jc w:val="center"/>
        <w:rPr>
          <w:rFonts w:ascii="Times New Roman" w:hAnsi="Times New Roman"/>
          <w:color w:val="auto"/>
          <w:sz w:val="21"/>
          <w:szCs w:val="22"/>
        </w:rPr>
      </w:pPr>
      <w:r>
        <w:rPr>
          <w:rFonts w:ascii="Times New Roman" w:hAnsi="Times New Roman"/>
          <w:color w:val="auto"/>
          <w:sz w:val="21"/>
          <w:szCs w:val="22"/>
        </w:rPr>
        <w:t xml:space="preserve">                 </w:t>
      </w:r>
    </w:p>
    <w:p w14:paraId="2453B9D6">
      <w:pPr>
        <w:pStyle w:val="24"/>
        <w:jc w:val="center"/>
        <w:rPr>
          <w:rFonts w:ascii="Times New Roman" w:hAnsi="Times New Roman"/>
          <w:color w:val="auto"/>
          <w:sz w:val="21"/>
          <w:szCs w:val="22"/>
        </w:rPr>
      </w:pPr>
    </w:p>
    <w:p w14:paraId="2C81728F">
      <w:pPr>
        <w:pStyle w:val="24"/>
        <w:jc w:val="center"/>
        <w:rPr>
          <w:rFonts w:ascii="Times New Roman" w:hAnsi="Times New Roman"/>
          <w:color w:val="auto"/>
          <w:sz w:val="21"/>
          <w:szCs w:val="22"/>
        </w:rPr>
      </w:pPr>
    </w:p>
    <w:p w14:paraId="2CBC93C2">
      <w:pPr>
        <w:pStyle w:val="24"/>
        <w:jc w:val="center"/>
        <w:rPr>
          <w:rFonts w:ascii="Times New Roman" w:hAnsi="Times New Roman"/>
          <w:color w:val="auto"/>
          <w:sz w:val="21"/>
          <w:szCs w:val="22"/>
        </w:rPr>
      </w:pPr>
    </w:p>
    <w:p w14:paraId="3794C37B">
      <w:pPr>
        <w:pStyle w:val="24"/>
        <w:jc w:val="center"/>
        <w:rPr>
          <w:rFonts w:ascii="Times New Roman" w:hAnsi="Times New Roman"/>
          <w:color w:val="auto"/>
          <w:sz w:val="21"/>
          <w:szCs w:val="22"/>
          <w:highlight w:val="none"/>
        </w:rPr>
      </w:pPr>
    </w:p>
    <w:p w14:paraId="79F3803C">
      <w:pPr>
        <w:widowControl/>
        <w:spacing w:line="300" w:lineRule="atLeast"/>
        <w:ind w:firstLine="480"/>
        <w:jc w:val="center"/>
        <w:rPr>
          <w:rFonts w:hint="eastAsia" w:asciiTheme="minorEastAsia" w:hAnsiTheme="minorEastAsia" w:eastAsiaTheme="minorEastAsia" w:cstheme="minorEastAsia"/>
          <w:b/>
          <w:bCs/>
          <w:color w:val="000000"/>
          <w:kern w:val="0"/>
          <w:sz w:val="24"/>
          <w:highlight w:val="none"/>
        </w:rPr>
      </w:pPr>
    </w:p>
    <w:p w14:paraId="6352279F">
      <w:pPr>
        <w:widowControl/>
        <w:spacing w:line="300" w:lineRule="atLeast"/>
        <w:ind w:firstLine="480"/>
        <w:jc w:val="center"/>
        <w:rPr>
          <w:rFonts w:hint="eastAsia" w:asciiTheme="minorEastAsia" w:hAnsiTheme="minorEastAsia" w:eastAsiaTheme="minorEastAsia" w:cstheme="minorEastAsia"/>
          <w:color w:val="000000"/>
          <w:kern w:val="0"/>
          <w:sz w:val="24"/>
          <w:highlight w:val="none"/>
        </w:rPr>
      </w:pPr>
      <w:r>
        <w:rPr>
          <w:rFonts w:hint="eastAsia" w:asciiTheme="minorEastAsia" w:hAnsiTheme="minorEastAsia" w:eastAsiaTheme="minorEastAsia" w:cstheme="minorEastAsia"/>
          <w:b/>
          <w:bCs/>
          <w:color w:val="000000"/>
          <w:kern w:val="0"/>
          <w:sz w:val="24"/>
          <w:highlight w:val="none"/>
        </w:rPr>
        <w:t>投资参股的关联企业情况表（与响应报名表一并提交）</w:t>
      </w:r>
    </w:p>
    <w:tbl>
      <w:tblPr>
        <w:tblStyle w:val="16"/>
        <w:tblW w:w="10081" w:type="dxa"/>
        <w:jc w:val="center"/>
        <w:tblCellSpacing w:w="15" w:type="dxa"/>
        <w:tblLayout w:type="fixed"/>
        <w:tblCellMar>
          <w:top w:w="0" w:type="dxa"/>
          <w:left w:w="0" w:type="dxa"/>
          <w:bottom w:w="0" w:type="dxa"/>
          <w:right w:w="0" w:type="dxa"/>
        </w:tblCellMar>
      </w:tblPr>
      <w:tblGrid>
        <w:gridCol w:w="10081"/>
      </w:tblGrid>
      <w:tr w14:paraId="498E417C">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179EBCE5">
            <w:pPr>
              <w:widowControl/>
              <w:spacing w:line="480" w:lineRule="atLeast"/>
              <w:ind w:firstLine="48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 </w:t>
            </w:r>
          </w:p>
          <w:p w14:paraId="5E4202A1">
            <w:pPr>
              <w:widowControl/>
              <w:spacing w:line="480" w:lineRule="atLeast"/>
              <w:ind w:firstLine="48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申请参加询比的企业应提供其投资参股的关联企业情况，包括以下内容：</w:t>
            </w:r>
          </w:p>
          <w:p w14:paraId="2C13E3C0">
            <w:pPr>
              <w:pStyle w:val="3"/>
              <w:numPr>
                <w:ilvl w:val="0"/>
                <w:numId w:val="0"/>
              </w:numPr>
              <w:ind w:left="417" w:leftChars="0"/>
              <w:rPr>
                <w:rFonts w:hint="eastAsia" w:asciiTheme="minorEastAsia" w:hAnsiTheme="minorEastAsia" w:eastAsiaTheme="minorEastAsia" w:cstheme="minorEastAsia"/>
              </w:rPr>
            </w:pPr>
          </w:p>
          <w:p w14:paraId="7808537F">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与本单位负责人为同一人的其他单位名单；</w:t>
            </w:r>
          </w:p>
          <w:p w14:paraId="55165050">
            <w:pPr>
              <w:keepNext/>
              <w:keepLines/>
              <w:widowControl w:val="0"/>
              <w:numPr>
                <w:ilvl w:val="0"/>
                <w:numId w:val="0"/>
              </w:numPr>
              <w:spacing w:line="360" w:lineRule="auto"/>
              <w:ind w:left="402"/>
              <w:jc w:val="both"/>
              <w:outlineLvl w:val="1"/>
              <w:rPr>
                <w:rFonts w:hint="eastAsia" w:asciiTheme="minorEastAsia" w:hAnsiTheme="minorEastAsia" w:eastAsiaTheme="minorEastAsia" w:cstheme="minorEastAsia"/>
                <w:b/>
                <w:bCs/>
                <w:kern w:val="2"/>
                <w:sz w:val="28"/>
                <w:szCs w:val="32"/>
                <w:highlight w:val="none"/>
                <w:lang w:val="en-US" w:eastAsia="zh-CN" w:bidi="ar-SA"/>
              </w:rPr>
            </w:pPr>
          </w:p>
          <w:p w14:paraId="65FB681B">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对本单位存在控股、管理关系的其他单位名单；</w:t>
            </w:r>
          </w:p>
          <w:p w14:paraId="09979061">
            <w:pPr>
              <w:pStyle w:val="39"/>
              <w:rPr>
                <w:rFonts w:hint="eastAsia" w:asciiTheme="minorEastAsia" w:hAnsiTheme="minorEastAsia" w:eastAsiaTheme="minorEastAsia" w:cstheme="minorEastAsia"/>
                <w:highlight w:val="none"/>
              </w:rPr>
            </w:pPr>
          </w:p>
          <w:p w14:paraId="6002E8BE">
            <w:pPr>
              <w:rPr>
                <w:rFonts w:hint="eastAsia" w:asciiTheme="minorEastAsia" w:hAnsiTheme="minorEastAsia" w:eastAsiaTheme="minorEastAsia" w:cstheme="minorEastAsia"/>
                <w:highlight w:val="none"/>
              </w:rPr>
            </w:pPr>
          </w:p>
          <w:p w14:paraId="13418109">
            <w:pPr>
              <w:pStyle w:val="39"/>
              <w:widowControl/>
              <w:numPr>
                <w:ilvl w:val="3"/>
                <w:numId w:val="1"/>
              </w:numPr>
              <w:spacing w:line="480" w:lineRule="atLeast"/>
              <w:ind w:firstLineChars="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本单位对其他单位存在控股、管理关系的名单；</w:t>
            </w:r>
          </w:p>
          <w:p w14:paraId="74A3C64F">
            <w:pPr>
              <w:keepNext/>
              <w:keepLines/>
              <w:widowControl w:val="0"/>
              <w:numPr>
                <w:ilvl w:val="0"/>
                <w:numId w:val="0"/>
              </w:numPr>
              <w:spacing w:line="360" w:lineRule="auto"/>
              <w:ind w:left="402"/>
              <w:jc w:val="both"/>
              <w:outlineLvl w:val="1"/>
              <w:rPr>
                <w:rFonts w:hint="eastAsia" w:asciiTheme="minorEastAsia" w:hAnsiTheme="minorEastAsia" w:eastAsiaTheme="minorEastAsia" w:cstheme="minorEastAsia"/>
                <w:b/>
                <w:bCs/>
                <w:kern w:val="2"/>
                <w:sz w:val="28"/>
                <w:szCs w:val="32"/>
                <w:highlight w:val="none"/>
                <w:lang w:val="en-US" w:eastAsia="zh-CN" w:bidi="ar-SA"/>
              </w:rPr>
            </w:pPr>
          </w:p>
          <w:p w14:paraId="5CCAE341">
            <w:pPr>
              <w:widowControl/>
              <w:spacing w:line="480" w:lineRule="atLeast"/>
              <w:ind w:firstLine="420"/>
              <w:jc w:val="left"/>
              <w:rPr>
                <w:rFonts w:hint="eastAsia"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                                                        </w:t>
            </w:r>
            <w:r>
              <w:rPr>
                <w:rFonts w:hint="eastAsia" w:asciiTheme="minorEastAsia" w:hAnsiTheme="minorEastAsia" w:eastAsiaTheme="minorEastAsia" w:cstheme="minorEastAsia"/>
                <w:kern w:val="0"/>
                <w:sz w:val="24"/>
                <w:highlight w:val="none"/>
                <w:lang w:val="en-US" w:eastAsia="zh-CN"/>
              </w:rPr>
              <w:t xml:space="preserve">                        </w:t>
            </w:r>
            <w:r>
              <w:rPr>
                <w:rFonts w:hint="eastAsia" w:asciiTheme="minorEastAsia" w:hAnsiTheme="minorEastAsia" w:eastAsiaTheme="minorEastAsia" w:cstheme="minorEastAsia"/>
                <w:kern w:val="0"/>
                <w:sz w:val="24"/>
                <w:highlight w:val="none"/>
              </w:rPr>
              <w:t>（单位盖章）</w:t>
            </w:r>
          </w:p>
        </w:tc>
      </w:tr>
    </w:tbl>
    <w:p w14:paraId="45F87B70">
      <w:pPr>
        <w:widowControl/>
        <w:jc w:val="left"/>
        <w:rPr>
          <w:rFonts w:hint="eastAsia" w:asciiTheme="minorEastAsia" w:hAnsiTheme="minorEastAsia" w:eastAsiaTheme="minorEastAsia" w:cstheme="minorEastAsia"/>
          <w:color w:val="000000"/>
          <w:kern w:val="0"/>
          <w:sz w:val="24"/>
          <w:highlight w:val="none"/>
        </w:rPr>
      </w:pPr>
      <w:r>
        <w:rPr>
          <w:rFonts w:hint="eastAsia" w:asciiTheme="minorEastAsia" w:hAnsiTheme="minorEastAsia" w:eastAsiaTheme="minorEastAsia" w:cstheme="minorEastAsia"/>
          <w:color w:val="000000"/>
          <w:kern w:val="0"/>
          <w:sz w:val="24"/>
          <w:highlight w:val="none"/>
        </w:rPr>
        <w:t>注：供应商应如实填报此表，否则因其影响询比公正性的，其相关响应文件均无效。</w:t>
      </w:r>
    </w:p>
    <w:p w14:paraId="34C19012">
      <w:pPr>
        <w:pStyle w:val="24"/>
        <w:jc w:val="center"/>
        <w:rPr>
          <w:rFonts w:ascii="Times New Roman" w:hAnsi="Times New Roman"/>
          <w:color w:val="auto"/>
          <w:sz w:val="21"/>
          <w:szCs w:val="22"/>
          <w:highlight w:val="none"/>
        </w:rPr>
      </w:pPr>
    </w:p>
    <w:p w14:paraId="7ACC614E">
      <w:pPr>
        <w:pStyle w:val="24"/>
        <w:jc w:val="center"/>
        <w:rPr>
          <w:rFonts w:ascii="Times New Roman" w:hAnsi="Times New Roman"/>
          <w:color w:val="auto"/>
          <w:sz w:val="21"/>
          <w:szCs w:val="22"/>
        </w:rPr>
      </w:pPr>
    </w:p>
    <w:p w14:paraId="143BF06D">
      <w:pPr>
        <w:pStyle w:val="24"/>
        <w:jc w:val="center"/>
        <w:rPr>
          <w:rFonts w:ascii="Times New Roman" w:hAnsi="Times New Roman"/>
          <w:color w:val="auto"/>
          <w:sz w:val="21"/>
          <w:szCs w:val="22"/>
        </w:rPr>
      </w:pPr>
    </w:p>
    <w:p w14:paraId="6587E94A">
      <w:pPr>
        <w:pStyle w:val="24"/>
        <w:jc w:val="center"/>
        <w:rPr>
          <w:rFonts w:ascii="Times New Roman" w:hAnsi="Times New Roman"/>
          <w:color w:val="auto"/>
          <w:sz w:val="21"/>
          <w:szCs w:val="22"/>
        </w:rPr>
      </w:pPr>
    </w:p>
    <w:p w14:paraId="3A786BFA">
      <w:pPr>
        <w:pStyle w:val="24"/>
        <w:jc w:val="center"/>
        <w:rPr>
          <w:rFonts w:ascii="Times New Roman" w:hAnsi="Times New Roman"/>
          <w:color w:val="auto"/>
          <w:sz w:val="21"/>
          <w:szCs w:val="22"/>
        </w:rPr>
      </w:pPr>
    </w:p>
    <w:p w14:paraId="3C388513">
      <w:pPr>
        <w:pStyle w:val="24"/>
        <w:jc w:val="center"/>
        <w:rPr>
          <w:rFonts w:ascii="Times New Roman" w:hAnsi="Times New Roman"/>
          <w:color w:val="auto"/>
          <w:sz w:val="21"/>
          <w:szCs w:val="22"/>
        </w:rPr>
      </w:pPr>
    </w:p>
    <w:p w14:paraId="17C58845">
      <w:pPr>
        <w:pStyle w:val="24"/>
        <w:jc w:val="center"/>
        <w:rPr>
          <w:rFonts w:ascii="Times New Roman" w:hAnsi="Times New Roman"/>
          <w:color w:val="auto"/>
          <w:sz w:val="21"/>
          <w:szCs w:val="22"/>
        </w:rPr>
      </w:pPr>
    </w:p>
    <w:p w14:paraId="0CE6376C">
      <w:pPr>
        <w:pStyle w:val="24"/>
        <w:jc w:val="center"/>
        <w:rPr>
          <w:rFonts w:ascii="Times New Roman" w:hAnsi="Times New Roman"/>
          <w:color w:val="auto"/>
          <w:sz w:val="21"/>
          <w:szCs w:val="22"/>
        </w:rPr>
      </w:pPr>
    </w:p>
    <w:p w14:paraId="25E373C9">
      <w:pPr>
        <w:pStyle w:val="24"/>
        <w:jc w:val="center"/>
        <w:rPr>
          <w:rFonts w:ascii="Times New Roman" w:hAnsi="Times New Roman"/>
          <w:color w:val="auto"/>
          <w:sz w:val="21"/>
          <w:szCs w:val="22"/>
        </w:rPr>
      </w:pPr>
    </w:p>
    <w:p w14:paraId="06FB3728">
      <w:pPr>
        <w:pStyle w:val="24"/>
        <w:jc w:val="center"/>
        <w:rPr>
          <w:rFonts w:ascii="Times New Roman" w:hAnsi="Times New Roman"/>
          <w:color w:val="auto"/>
          <w:sz w:val="21"/>
          <w:szCs w:val="22"/>
        </w:rPr>
      </w:pPr>
    </w:p>
    <w:p w14:paraId="0FCD28C4">
      <w:pPr>
        <w:pStyle w:val="24"/>
        <w:jc w:val="center"/>
        <w:rPr>
          <w:rFonts w:ascii="Times New Roman" w:hAnsi="Times New Roman"/>
          <w:color w:val="auto"/>
          <w:sz w:val="21"/>
          <w:szCs w:val="22"/>
        </w:rPr>
      </w:pPr>
    </w:p>
    <w:p w14:paraId="4B289710">
      <w:pPr>
        <w:pStyle w:val="24"/>
        <w:jc w:val="center"/>
        <w:rPr>
          <w:rFonts w:ascii="Times New Roman" w:hAnsi="Times New Roman"/>
          <w:color w:val="auto"/>
          <w:sz w:val="21"/>
          <w:szCs w:val="22"/>
        </w:rPr>
      </w:pPr>
    </w:p>
    <w:p w14:paraId="164A8699">
      <w:pPr>
        <w:pStyle w:val="24"/>
        <w:jc w:val="center"/>
        <w:rPr>
          <w:rFonts w:ascii="Times New Roman" w:hAnsi="Times New Roman"/>
          <w:color w:val="auto"/>
          <w:sz w:val="21"/>
          <w:szCs w:val="22"/>
        </w:rPr>
      </w:pPr>
    </w:p>
    <w:p w14:paraId="1FB47974">
      <w:pPr>
        <w:pStyle w:val="24"/>
        <w:jc w:val="center"/>
        <w:rPr>
          <w:rFonts w:ascii="Times New Roman" w:hAnsi="Times New Roman"/>
          <w:color w:val="auto"/>
          <w:sz w:val="21"/>
          <w:szCs w:val="22"/>
        </w:rPr>
      </w:pPr>
    </w:p>
    <w:p w14:paraId="321D2083">
      <w:pPr>
        <w:pStyle w:val="24"/>
        <w:jc w:val="center"/>
        <w:rPr>
          <w:rFonts w:ascii="Times New Roman" w:hAnsi="Times New Roman"/>
          <w:color w:val="auto"/>
          <w:sz w:val="21"/>
          <w:szCs w:val="22"/>
        </w:rPr>
      </w:pPr>
    </w:p>
    <w:p w14:paraId="732B5D9F">
      <w:pPr>
        <w:pStyle w:val="24"/>
        <w:jc w:val="both"/>
        <w:rPr>
          <w:rFonts w:ascii="Times New Roman" w:hAnsi="Times New Roman"/>
          <w:color w:val="auto"/>
          <w:sz w:val="21"/>
          <w:szCs w:val="22"/>
        </w:rPr>
      </w:pPr>
    </w:p>
    <w:p w14:paraId="03F3543C">
      <w:pPr>
        <w:pStyle w:val="24"/>
        <w:jc w:val="center"/>
        <w:rPr>
          <w:rFonts w:hint="default" w:ascii="Times New Roman" w:hAnsi="Times New Roman"/>
          <w:color w:val="auto"/>
          <w:szCs w:val="28"/>
        </w:rPr>
      </w:pPr>
      <w:r>
        <w:rPr>
          <w:rFonts w:ascii="Times New Roman" w:hAnsi="Times New Roman"/>
          <w:color w:val="auto"/>
          <w:sz w:val="21"/>
          <w:szCs w:val="22"/>
        </w:rPr>
        <w:t xml:space="preserve">                                    </w:t>
      </w:r>
    </w:p>
    <w:p w14:paraId="1726D30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供应商须知</w:t>
      </w:r>
    </w:p>
    <w:p w14:paraId="346DA925">
      <w:pPr>
        <w:keepNext/>
        <w:keepLines/>
        <w:spacing w:before="156" w:beforeLines="50" w:after="156" w:afterLines="50" w:line="360" w:lineRule="auto"/>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 总则</w:t>
      </w:r>
    </w:p>
    <w:p w14:paraId="6FF11995">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1.1 质量要求</w:t>
      </w:r>
    </w:p>
    <w:p w14:paraId="4E8C4755">
      <w:pPr>
        <w:spacing w:line="360" w:lineRule="auto"/>
        <w:ind w:firstLine="420" w:firstLineChars="200"/>
        <w:rPr>
          <w:rFonts w:hint="eastAsia" w:asciiTheme="minorEastAsia" w:hAnsiTheme="minorEastAsia" w:eastAsiaTheme="minorEastAsia" w:cstheme="minorEastAsia"/>
          <w:szCs w:val="21"/>
          <w:highlight w:val="green"/>
          <w:u w:val="single"/>
        </w:rPr>
      </w:pPr>
      <w:r>
        <w:rPr>
          <w:rFonts w:hint="eastAsia" w:asciiTheme="minorEastAsia" w:hAnsiTheme="minorEastAsia" w:eastAsiaTheme="minorEastAsia" w:cstheme="minorEastAsia"/>
          <w:szCs w:val="21"/>
        </w:rPr>
        <w:t>本合同包的质量要求：</w:t>
      </w:r>
      <w:r>
        <w:rPr>
          <w:rFonts w:hint="eastAsia" w:asciiTheme="minorEastAsia" w:hAnsiTheme="minorEastAsia" w:eastAsiaTheme="minorEastAsia" w:cstheme="minorEastAsia"/>
          <w:szCs w:val="21"/>
          <w:highlight w:val="none"/>
          <w:u w:val="single"/>
        </w:rPr>
        <w:t>严格按照技术要求和国家、部</w:t>
      </w:r>
      <w:r>
        <w:rPr>
          <w:rFonts w:hint="eastAsia" w:asciiTheme="minorEastAsia" w:hAnsiTheme="minorEastAsia" w:eastAsiaTheme="minorEastAsia" w:cstheme="minorEastAsia"/>
          <w:szCs w:val="21"/>
          <w:highlight w:val="none"/>
          <w:u w:val="single"/>
          <w:lang w:eastAsia="zh-CN"/>
        </w:rPr>
        <w:t>（</w:t>
      </w:r>
      <w:r>
        <w:rPr>
          <w:rFonts w:hint="eastAsia" w:asciiTheme="minorEastAsia" w:hAnsiTheme="minorEastAsia" w:eastAsiaTheme="minorEastAsia" w:cstheme="minorEastAsia"/>
          <w:szCs w:val="21"/>
          <w:highlight w:val="none"/>
          <w:u w:val="single"/>
        </w:rPr>
        <w:t>专业</w:t>
      </w:r>
      <w:r>
        <w:rPr>
          <w:rFonts w:hint="eastAsia" w:asciiTheme="minorEastAsia" w:hAnsiTheme="minorEastAsia" w:eastAsiaTheme="minorEastAsia" w:cstheme="minorEastAsia"/>
          <w:szCs w:val="21"/>
          <w:highlight w:val="none"/>
          <w:u w:val="single"/>
          <w:lang w:eastAsia="zh-CN"/>
        </w:rPr>
        <w:t>）</w:t>
      </w:r>
      <w:r>
        <w:rPr>
          <w:rFonts w:hint="eastAsia" w:asciiTheme="minorEastAsia" w:hAnsiTheme="minorEastAsia" w:eastAsiaTheme="minorEastAsia" w:cstheme="minorEastAsia"/>
          <w:szCs w:val="21"/>
          <w:highlight w:val="none"/>
          <w:u w:val="single"/>
        </w:rPr>
        <w:t>有关标准生产和检验，确保产品质量。并且完全符合本采购项目规定的质量、规格和性能的要求，并保证产品是全新的、未使用的。</w:t>
      </w:r>
    </w:p>
    <w:p w14:paraId="781DD1D6">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1.2供应商资格要求</w:t>
      </w:r>
    </w:p>
    <w:p w14:paraId="2C66ED78">
      <w:pPr>
        <w:spacing w:line="4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1.2.1供应商应具备承担本合同包供货的资质条件、能力和信誉：见第一章 采购公告。</w:t>
      </w:r>
    </w:p>
    <w:p w14:paraId="71BD4A09">
      <w:pPr>
        <w:spacing w:line="440" w:lineRule="exac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1.2.2其他要求：</w:t>
      </w:r>
      <w:r>
        <w:rPr>
          <w:rFonts w:hint="eastAsia" w:asciiTheme="minorEastAsia" w:hAnsiTheme="minorEastAsia" w:eastAsiaTheme="minorEastAsia" w:cstheme="minorEastAsia"/>
          <w:szCs w:val="21"/>
          <w:u w:val="single"/>
        </w:rPr>
        <w:t>无</w:t>
      </w:r>
      <w:r>
        <w:rPr>
          <w:rFonts w:hint="eastAsia" w:asciiTheme="minorEastAsia" w:hAnsiTheme="minorEastAsia" w:eastAsiaTheme="minorEastAsia" w:cstheme="minorEastAsia"/>
          <w:szCs w:val="21"/>
        </w:rPr>
        <w:t>。</w:t>
      </w:r>
    </w:p>
    <w:p w14:paraId="0921D2CB">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1.3费用承担</w:t>
      </w:r>
    </w:p>
    <w:p w14:paraId="674B91A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准备和参加询比活动发生的费用自理。</w:t>
      </w:r>
    </w:p>
    <w:p w14:paraId="2C464A10">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1.4保密</w:t>
      </w:r>
    </w:p>
    <w:p w14:paraId="419BF3A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参与询比活动的各方应对询比文件和响应文件中的商业和技术等秘密保密，否则应承担相应的法律责任。</w:t>
      </w:r>
    </w:p>
    <w:p w14:paraId="37748173">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1.5计量单位</w:t>
      </w:r>
    </w:p>
    <w:p w14:paraId="25352BE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所有计量均采用中华人民共和国法定计量单位。</w:t>
      </w:r>
    </w:p>
    <w:p w14:paraId="51922A6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1.6踏勘现场</w:t>
      </w:r>
    </w:p>
    <w:p w14:paraId="7BEB9C2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供应商自行踏勘现场且费用自理</w:t>
      </w:r>
      <w:r>
        <w:rPr>
          <w:rFonts w:hint="eastAsia" w:asciiTheme="minorEastAsia" w:hAnsiTheme="minorEastAsia" w:cstheme="minorEastAsia"/>
          <w:lang w:eastAsia="zh-CN"/>
        </w:rPr>
        <w:t>（以附件的平面布置图为准）</w:t>
      </w:r>
      <w:r>
        <w:rPr>
          <w:rFonts w:hint="eastAsia" w:asciiTheme="minorEastAsia" w:hAnsiTheme="minorEastAsia" w:eastAsiaTheme="minorEastAsia" w:cstheme="minorEastAsia"/>
        </w:rPr>
        <w:t>。</w:t>
      </w:r>
    </w:p>
    <w:p w14:paraId="7140A772">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1.7分包</w:t>
      </w:r>
    </w:p>
    <w:p w14:paraId="7BB2F52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不分包</w:t>
      </w:r>
    </w:p>
    <w:p w14:paraId="50DE8219">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1.8偏差</w:t>
      </w:r>
    </w:p>
    <w:p w14:paraId="3C1FB7C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1.8.1偏差包括重大偏差和细微偏差。</w:t>
      </w:r>
    </w:p>
    <w:p w14:paraId="6CD07C0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1.8.2 响应文件存在第三章“评审办法”中所列任一否决响应文件情形的，均属于存在重大偏差，响应文件将被否决。</w:t>
      </w:r>
    </w:p>
    <w:p w14:paraId="3FC5974F">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 询比文件</w:t>
      </w:r>
    </w:p>
    <w:p w14:paraId="0417735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2.1 询比文件的组成</w:t>
      </w:r>
    </w:p>
    <w:p w14:paraId="675B692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本询比文件包括：</w:t>
      </w:r>
    </w:p>
    <w:p w14:paraId="015DC2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（1）采购公告；</w:t>
      </w:r>
    </w:p>
    <w:p w14:paraId="3BDCEE6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（2）供应商须知；</w:t>
      </w:r>
    </w:p>
    <w:p w14:paraId="5ACDDC1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（3）评审办法；</w:t>
      </w:r>
    </w:p>
    <w:p w14:paraId="22023DE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（4）合同条款及格式；</w:t>
      </w:r>
    </w:p>
    <w:p w14:paraId="0D7C5CE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（5）采购清单；</w:t>
      </w:r>
    </w:p>
    <w:p w14:paraId="32A1034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（6）响应文件格式。</w:t>
      </w:r>
    </w:p>
    <w:p w14:paraId="1C1BA37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根据本章第2.2款对询比文件所作的澄清、修改，构成询比文件的组成部分。</w:t>
      </w:r>
    </w:p>
    <w:p w14:paraId="716DAC6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当询比文件、询比文件的澄清或修改等在同一内容的表述上不一致时，以最后发出的书面文件为准。</w:t>
      </w:r>
    </w:p>
    <w:p w14:paraId="7E0007AF">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2.2 询比文件的澄清与修改</w:t>
      </w:r>
    </w:p>
    <w:p w14:paraId="7A1C644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2.2.1供应商如有疑问，应在递交响应文件的截止时间前3日前通过递交书面质疑函要求采购人对询比文件予以澄清或修改。</w:t>
      </w:r>
    </w:p>
    <w:p w14:paraId="2CC16C8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2.2.2除非采购人认为确有必要答复，否则，采购人有权拒绝回复供应商在本章第2.2.1项规定的时间后提出的任何澄清或修改要求。</w:t>
      </w:r>
    </w:p>
    <w:p w14:paraId="73FE3D0C">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 响应文件</w:t>
      </w:r>
    </w:p>
    <w:p w14:paraId="5EAA1EFB">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3.1响应文件的组成</w:t>
      </w:r>
    </w:p>
    <w:p w14:paraId="0D95CD34">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响应文件应包括下列内容：</w:t>
      </w:r>
    </w:p>
    <w:p w14:paraId="172EF62D">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（1）报价函；</w:t>
      </w:r>
    </w:p>
    <w:p w14:paraId="15E46258">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（2）法定代表人身份证明及授权委托书；</w:t>
      </w:r>
    </w:p>
    <w:p w14:paraId="3548A792">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（3）已标价的报价清单；</w:t>
      </w:r>
    </w:p>
    <w:p w14:paraId="1DCAA42E">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（4）供应商基本情况；</w:t>
      </w:r>
    </w:p>
    <w:p w14:paraId="6026ED95">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（5）近年类似业绩情况；</w:t>
      </w:r>
    </w:p>
    <w:p w14:paraId="3B589F0F">
      <w:pPr>
        <w:spacing w:line="400" w:lineRule="atLeas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（6）信誉情况；</w:t>
      </w:r>
    </w:p>
    <w:p w14:paraId="577805A5">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（7）</w:t>
      </w:r>
      <w:r>
        <w:rPr>
          <w:rFonts w:hint="eastAsia" w:asciiTheme="minorEastAsia" w:hAnsiTheme="minorEastAsia" w:eastAsiaTheme="minorEastAsia" w:cstheme="minorEastAsia"/>
          <w:szCs w:val="21"/>
        </w:rPr>
        <w:t>技术性能（质量）指标描述</w:t>
      </w:r>
      <w:r>
        <w:rPr>
          <w:rFonts w:hint="eastAsia" w:asciiTheme="minorEastAsia" w:hAnsiTheme="minorEastAsia" w:eastAsiaTheme="minorEastAsia" w:cstheme="minorEastAsia"/>
        </w:rPr>
        <w:t>；</w:t>
      </w:r>
    </w:p>
    <w:p w14:paraId="76DFBE65">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（8）供货方案；</w:t>
      </w:r>
    </w:p>
    <w:p w14:paraId="1D6D87B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（9）其他材料。</w:t>
      </w:r>
    </w:p>
    <w:p w14:paraId="1F17B713">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3.2 报价要求</w:t>
      </w:r>
    </w:p>
    <w:p w14:paraId="66237E27">
      <w:pPr>
        <w:spacing w:line="440" w:lineRule="exact"/>
        <w:ind w:firstLine="42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 xml:space="preserve">3.2.1 </w:t>
      </w:r>
      <w:r>
        <w:rPr>
          <w:rFonts w:hint="eastAsia" w:asciiTheme="minorEastAsia" w:hAnsiTheme="minorEastAsia" w:eastAsiaTheme="minorEastAsia" w:cstheme="minorEastAsia"/>
          <w:highlight w:val="green"/>
        </w:rPr>
        <w:t>报价应包括国家规定的增值税税金，供应商应提供增值税发票13%。</w:t>
      </w:r>
    </w:p>
    <w:p w14:paraId="046D2B9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3.2.2 供应商应按第六章“响应文件格式”的要求在报价函中进行报价并填写报价清单相应表格。</w:t>
      </w:r>
    </w:p>
    <w:p w14:paraId="3A3046E0">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3.2.3采购人设有最高限价的，供应商的报价不得超过最高限价，否则其报价将被否决，最高限价见第一章“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”第2.5款。</w:t>
      </w:r>
    </w:p>
    <w:p w14:paraId="4E2F7A5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3.2.4本项目的报价方式为</w:t>
      </w:r>
      <w:r>
        <w:rPr>
          <w:rFonts w:hint="eastAsia" w:asciiTheme="minorEastAsia" w:hAnsiTheme="minorEastAsia" w:eastAsiaTheme="minorEastAsia" w:cstheme="minorEastAsia"/>
          <w:u w:val="single"/>
        </w:rPr>
        <w:t>（总价）</w:t>
      </w:r>
      <w:r>
        <w:rPr>
          <w:rFonts w:hint="eastAsia" w:asciiTheme="minorEastAsia" w:hAnsiTheme="minorEastAsia" w:eastAsiaTheme="minorEastAsia" w:cstheme="minorEastAsia"/>
        </w:rPr>
        <w:t>。</w:t>
      </w:r>
    </w:p>
    <w:p w14:paraId="0C7050F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3.2.5报价的其他要求：</w:t>
      </w:r>
    </w:p>
    <w:p w14:paraId="693898FC">
      <w:pPr>
        <w:spacing w:line="340" w:lineRule="exact"/>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1、计价方式：本合同为</w:t>
      </w:r>
      <w:r>
        <w:rPr>
          <w:rFonts w:hint="eastAsia" w:asciiTheme="minorEastAsia" w:hAnsiTheme="minorEastAsia" w:eastAsiaTheme="minorEastAsia" w:cstheme="minorEastAsia"/>
          <w:szCs w:val="21"/>
          <w:u w:val="single"/>
        </w:rPr>
        <w:t>固定</w:t>
      </w:r>
      <w:r>
        <w:rPr>
          <w:rFonts w:hint="eastAsia" w:asciiTheme="minorEastAsia" w:hAnsiTheme="minorEastAsia" w:eastAsiaTheme="minorEastAsia" w:cstheme="minorEastAsia"/>
          <w:szCs w:val="21"/>
          <w:u w:val="single"/>
          <w:lang w:eastAsia="zh-CN"/>
        </w:rPr>
        <w:t>单价</w:t>
      </w:r>
      <w:r>
        <w:rPr>
          <w:rFonts w:hint="eastAsia" w:asciiTheme="minorEastAsia" w:hAnsiTheme="minorEastAsia" w:eastAsiaTheme="minorEastAsia" w:cstheme="minorEastAsia"/>
          <w:szCs w:val="21"/>
        </w:rPr>
        <w:t>合同，合同期内不调价；</w:t>
      </w:r>
    </w:p>
    <w:p w14:paraId="3BE89EBA">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2、总价为设备生产、制造及保险、销售差价、供货、包装运输（运输至指定地点）、安装、调试、验收、取证、培训、技术服务、损耗费、附属材料费、售后服务、税金、质保期维护维修服务等全部内容报价。</w:t>
      </w:r>
    </w:p>
    <w:p w14:paraId="7CA191FC">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3.3响应有效期</w:t>
      </w:r>
    </w:p>
    <w:p w14:paraId="5EC1847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3.3.1 响应有效期为</w:t>
      </w:r>
      <w:r>
        <w:rPr>
          <w:rFonts w:hint="eastAsia" w:asciiTheme="minorEastAsia" w:hAnsiTheme="minorEastAsia" w:eastAsiaTheme="minorEastAsia" w:cstheme="minorEastAsia"/>
          <w:szCs w:val="21"/>
        </w:rPr>
        <w:t>自供应商递交响应文件截止之日起计算90</w:t>
      </w:r>
      <w:r>
        <w:rPr>
          <w:rFonts w:hint="eastAsia" w:asciiTheme="minorEastAsia" w:hAnsiTheme="minorEastAsia" w:eastAsiaTheme="minorEastAsia" w:cstheme="minorEastAsia"/>
        </w:rPr>
        <w:t>日。</w:t>
      </w:r>
    </w:p>
    <w:p w14:paraId="2E1FA1D2">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3.3.2 在响应有效期内，供应商撤销响应文件的，应承担询比文件和法律规定的责任。</w:t>
      </w:r>
    </w:p>
    <w:p w14:paraId="7763F6D1">
      <w:pPr>
        <w:keepNext/>
        <w:keepLines/>
        <w:spacing w:before="120" w:after="120" w:line="415" w:lineRule="auto"/>
        <w:outlineLvl w:val="2"/>
        <w:rPr>
          <w:rFonts w:hint="eastAsia" w:asciiTheme="minorEastAsia" w:hAnsiTheme="minorEastAsia" w:eastAsiaTheme="minorEastAsia" w:cstheme="minorEastAsia"/>
          <w:bCs/>
          <w:sz w:val="24"/>
          <w:szCs w:val="32"/>
        </w:rPr>
      </w:pPr>
      <w:bookmarkStart w:id="44" w:name="_Toc26656960"/>
      <w:bookmarkStart w:id="45" w:name="_Toc14201229"/>
      <w:r>
        <w:rPr>
          <w:rFonts w:hint="eastAsia" w:asciiTheme="minorEastAsia" w:hAnsiTheme="minorEastAsia" w:eastAsiaTheme="minorEastAsia" w:cstheme="minorEastAsia"/>
          <w:bCs/>
          <w:sz w:val="24"/>
          <w:szCs w:val="32"/>
        </w:rPr>
        <w:t>3.4</w:t>
      </w:r>
      <w:bookmarkEnd w:id="44"/>
      <w:bookmarkEnd w:id="45"/>
      <w:r>
        <w:rPr>
          <w:rFonts w:hint="eastAsia" w:asciiTheme="minorEastAsia" w:hAnsiTheme="minorEastAsia" w:eastAsiaTheme="minorEastAsia" w:cstheme="minorEastAsia"/>
          <w:bCs/>
          <w:sz w:val="24"/>
          <w:szCs w:val="32"/>
        </w:rPr>
        <w:t>响应保证金</w:t>
      </w:r>
    </w:p>
    <w:p w14:paraId="7241806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3.4.1 供应商在递交响应文件的同时，应按第一章“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”第7条的要求递交响应保证金，并作为其响应文件的组成部分。</w:t>
      </w:r>
    </w:p>
    <w:p w14:paraId="2C61B53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无论采取何种形式的响应保证金，响应保证金有效期均应与响应有效期一致。</w:t>
      </w:r>
    </w:p>
    <w:p w14:paraId="3F54F77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3.4.2 供应商不按本章第3.4.1项要求提交响应保证金的，评审小组将否决其响应文件。</w:t>
      </w:r>
    </w:p>
    <w:p w14:paraId="4699C10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3.4.3 采购人在与成交人签订合同后5日内办理退还响应保证金手续。</w:t>
      </w:r>
    </w:p>
    <w:p w14:paraId="19952B5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3.4.4 有下列情形之一的，响应保证金将不予退还：</w:t>
      </w:r>
    </w:p>
    <w:p w14:paraId="47110D5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（1）供应商在规定的响应有效期内撤销其响应文件；</w:t>
      </w:r>
    </w:p>
    <w:p w14:paraId="3BF540B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4ED0B476">
      <w:pPr>
        <w:keepNext/>
        <w:keepLines/>
        <w:spacing w:before="120" w:after="120"/>
        <w:outlineLvl w:val="2"/>
        <w:rPr>
          <w:rFonts w:hint="eastAsia" w:asciiTheme="minorEastAsia" w:hAnsiTheme="minorEastAsia" w:eastAsiaTheme="minorEastAsia" w:cstheme="minorEastAsia"/>
          <w:bCs/>
          <w:sz w:val="24"/>
          <w:szCs w:val="32"/>
        </w:rPr>
      </w:pPr>
      <w:bookmarkStart w:id="46" w:name="_Toc26656961"/>
      <w:bookmarkStart w:id="47" w:name="_Toc14201230"/>
      <w:r>
        <w:rPr>
          <w:rFonts w:hint="eastAsia" w:asciiTheme="minorEastAsia" w:hAnsiTheme="minorEastAsia" w:eastAsiaTheme="minorEastAsia" w:cstheme="minorEastAsia"/>
          <w:bCs/>
          <w:sz w:val="24"/>
          <w:szCs w:val="32"/>
        </w:rPr>
        <w:t>3.5资格审查资料</w:t>
      </w:r>
      <w:bookmarkEnd w:id="46"/>
      <w:bookmarkEnd w:id="47"/>
    </w:p>
    <w:p w14:paraId="405EEBB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供应商应按第六章“响应文件格式”的规定提供资格审查资料，以证明其满足本章第1.2款规定的资质、业绩、信誉等要求。</w:t>
      </w:r>
    </w:p>
    <w:p w14:paraId="7FD7B259">
      <w:pPr>
        <w:keepNext/>
        <w:keepLines/>
        <w:spacing w:before="120" w:after="120"/>
        <w:outlineLvl w:val="2"/>
        <w:rPr>
          <w:rFonts w:hint="eastAsia" w:asciiTheme="minorEastAsia" w:hAnsiTheme="minorEastAsia" w:eastAsiaTheme="minorEastAsia" w:cstheme="minorEastAsia"/>
          <w:bCs/>
          <w:sz w:val="24"/>
          <w:szCs w:val="32"/>
        </w:rPr>
      </w:pPr>
      <w:bookmarkStart w:id="48" w:name="_Toc14201232"/>
      <w:bookmarkStart w:id="49" w:name="_Toc26656963"/>
      <w:r>
        <w:rPr>
          <w:rFonts w:hint="eastAsia" w:asciiTheme="minorEastAsia" w:hAnsiTheme="minorEastAsia" w:eastAsiaTheme="minorEastAsia" w:cstheme="minorEastAsia"/>
          <w:bCs/>
          <w:sz w:val="24"/>
          <w:szCs w:val="32"/>
        </w:rPr>
        <w:t>3.6响应文件的编制</w:t>
      </w:r>
      <w:bookmarkEnd w:id="48"/>
      <w:bookmarkEnd w:id="49"/>
    </w:p>
    <w:p w14:paraId="11CC77DE">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3.6.1响应文件应按第六章“响应文件格式”进行编写，如有必要，可以增加附页，作为响应文件的组成部分。</w:t>
      </w:r>
    </w:p>
    <w:p w14:paraId="6745121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3.6.2 响应文件应当对询比文件有关交货期、响应有效期、质量要求、技术标准和要求、采购范围等实质性内容作出响应。</w:t>
      </w:r>
    </w:p>
    <w:p w14:paraId="4F972D9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3.6.3响应文件的制作应满足以下规定：</w:t>
      </w:r>
    </w:p>
    <w:p w14:paraId="4327E9B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响应文件应用不褪色的材料书写或打印，并按第六章“响应文件格式”的要求进行签名和（或）盖章。响应文件应尽量避免涂改、行间插字或删除。如果出现上述情况，改动之处应由供应商的法定代表人或其授权的代理人签名或盖单位章。</w:t>
      </w:r>
    </w:p>
    <w:p w14:paraId="55926E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（2）响应文件正本一份，副本二份。正本和副本的封面右上角上应清楚地标记“正本”或“副本”的字样。当副本和正本不一致时，以正本文件为准。</w:t>
      </w:r>
    </w:p>
    <w:p w14:paraId="409C3073">
      <w:pPr>
        <w:spacing w:line="440" w:lineRule="exact"/>
        <w:ind w:firstLine="420"/>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（3）响应文件的正本与副本需胶装密封装订。</w:t>
      </w:r>
    </w:p>
    <w:p w14:paraId="0347E1C8">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 响应文件的递交</w:t>
      </w:r>
    </w:p>
    <w:p w14:paraId="334421FA">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4.1响应文件的密封和标记</w:t>
      </w:r>
    </w:p>
    <w:p w14:paraId="174BB3B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4.1.1响应文件正、副本应密封包装在一个封套内，封套上注明：</w:t>
      </w:r>
    </w:p>
    <w:p w14:paraId="6F76E5BE">
      <w:pPr>
        <w:spacing w:line="440" w:lineRule="exact"/>
        <w:ind w:firstLine="420"/>
        <w:rPr>
          <w:rFonts w:hint="eastAsia" w:asciiTheme="minorEastAsia" w:hAnsiTheme="minorEastAsia" w:eastAsiaTheme="minorEastAsia" w:cstheme="minorEastAsia"/>
          <w:bCs/>
          <w:snapToGrid w:val="0"/>
          <w:kern w:val="0"/>
          <w:szCs w:val="21"/>
        </w:rPr>
      </w:pPr>
      <w:r>
        <w:rPr>
          <w:rFonts w:hint="eastAsia" w:asciiTheme="minorEastAsia" w:hAnsiTheme="minorEastAsia" w:eastAsiaTheme="minorEastAsia" w:cstheme="minorEastAsia"/>
          <w:bCs/>
          <w:snapToGrid w:val="0"/>
          <w:kern w:val="0"/>
          <w:szCs w:val="21"/>
        </w:rPr>
        <w:t>供应商名称：</w:t>
      </w:r>
    </w:p>
    <w:p w14:paraId="7B883770">
      <w:pPr>
        <w:spacing w:line="440" w:lineRule="exact"/>
        <w:ind w:firstLine="420"/>
        <w:rPr>
          <w:rFonts w:hint="eastAsia" w:asciiTheme="minorEastAsia" w:hAnsiTheme="minorEastAsia" w:eastAsiaTheme="minorEastAsia" w:cstheme="minorEastAsia"/>
          <w:bCs/>
          <w:snapToGrid w:val="0"/>
          <w:kern w:val="0"/>
          <w:szCs w:val="21"/>
        </w:rPr>
      </w:pPr>
      <w:r>
        <w:rPr>
          <w:rFonts w:hint="eastAsia" w:asciiTheme="minorEastAsia" w:hAnsiTheme="minorEastAsia" w:eastAsiaTheme="minorEastAsia" w:cstheme="minorEastAsia"/>
          <w:bCs/>
          <w:snapToGrid w:val="0"/>
          <w:kern w:val="0"/>
          <w:szCs w:val="21"/>
          <w:u w:val="single"/>
        </w:rPr>
        <w:t xml:space="preserve">            </w:t>
      </w:r>
      <w:r>
        <w:rPr>
          <w:rFonts w:hint="eastAsia" w:asciiTheme="minorEastAsia" w:hAnsiTheme="minorEastAsia" w:eastAsiaTheme="minorEastAsia" w:cstheme="minorEastAsia"/>
          <w:bCs/>
          <w:snapToGrid w:val="0"/>
          <w:kern w:val="0"/>
          <w:szCs w:val="21"/>
          <w:u w:val="single"/>
          <w:lang w:eastAsia="zh-CN"/>
        </w:rPr>
        <w:t>（</w:t>
      </w:r>
      <w:r>
        <w:rPr>
          <w:rFonts w:hint="eastAsia" w:asciiTheme="minorEastAsia" w:hAnsiTheme="minorEastAsia" w:eastAsiaTheme="minorEastAsia" w:cstheme="minorEastAsia"/>
          <w:bCs/>
          <w:snapToGrid w:val="0"/>
          <w:kern w:val="0"/>
          <w:szCs w:val="21"/>
          <w:u w:val="single"/>
        </w:rPr>
        <w:t>项目</w:t>
      </w:r>
      <w:r>
        <w:rPr>
          <w:rFonts w:hint="eastAsia" w:asciiTheme="minorEastAsia" w:hAnsiTheme="minorEastAsia" w:eastAsiaTheme="minorEastAsia" w:cstheme="minorEastAsia"/>
          <w:u w:val="single"/>
        </w:rPr>
        <w:t>名称</w:t>
      </w:r>
      <w:r>
        <w:rPr>
          <w:rFonts w:hint="eastAsia" w:asciiTheme="minorEastAsia" w:hAnsiTheme="minorEastAsia" w:eastAsiaTheme="minorEastAsia" w:cstheme="minorEastAsia"/>
          <w:bCs/>
          <w:snapToGrid w:val="0"/>
          <w:kern w:val="0"/>
          <w:szCs w:val="21"/>
          <w:u w:val="single"/>
          <w:lang w:eastAsia="zh-CN"/>
        </w:rPr>
        <w:t>）</w:t>
      </w:r>
      <w:r>
        <w:rPr>
          <w:rFonts w:hint="eastAsia" w:asciiTheme="minorEastAsia" w:hAnsiTheme="minorEastAsia" w:eastAsiaTheme="minorEastAsia" w:cstheme="minorEastAsia"/>
          <w:bCs/>
          <w:snapToGrid w:val="0"/>
          <w:kern w:val="0"/>
          <w:szCs w:val="21"/>
          <w:u w:val="single"/>
        </w:rPr>
        <w:t xml:space="preserve">   第</w:t>
      </w:r>
      <w:r>
        <w:rPr>
          <w:rFonts w:hint="eastAsia" w:asciiTheme="minorEastAsia" w:hAnsiTheme="minorEastAsia" w:eastAsiaTheme="minorEastAsia" w:cstheme="minorEastAsia"/>
          <w:bCs/>
          <w:snapToGrid w:val="0"/>
          <w:kern w:val="0"/>
          <w:szCs w:val="21"/>
        </w:rPr>
        <w:t>合同包响应文件</w:t>
      </w:r>
    </w:p>
    <w:p w14:paraId="287E2CF5">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Cs/>
          <w:snapToGrid w:val="0"/>
          <w:kern w:val="0"/>
          <w:szCs w:val="21"/>
        </w:rPr>
        <w:t>在年月日时分（递交响应文件的截止时间）前不得开启</w:t>
      </w:r>
    </w:p>
    <w:p w14:paraId="5C77D5A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4.1.2未按本章第4.1.1项要求密封的响应文件，采购人将予以拒收。</w:t>
      </w:r>
    </w:p>
    <w:p w14:paraId="3274125E">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4.2 响应文件的递交</w:t>
      </w:r>
    </w:p>
    <w:p w14:paraId="6CA8AEBD">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4.2.1供应商应当按照第一章“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第5条的规定递交响应文件</w:t>
      </w:r>
      <w:r>
        <w:rPr>
          <w:rFonts w:hint="eastAsia" w:asciiTheme="minorEastAsia" w:hAnsiTheme="minorEastAsia" w:eastAsiaTheme="minorEastAsia" w:cstheme="minorEastAsia"/>
        </w:rPr>
        <w:t>。</w:t>
      </w:r>
    </w:p>
    <w:p w14:paraId="5DFC494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4.2.2递交响应文件的供应商数量不足3家时，采购人将宣布本次采购失败，并退还已递交的响应文件。</w:t>
      </w:r>
    </w:p>
    <w:p w14:paraId="597D253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4.2.3 除第4.2.2项规定外，供应商所递交的响应文件不予退还。</w:t>
      </w:r>
    </w:p>
    <w:p w14:paraId="0ABC5E02">
      <w:pPr>
        <w:keepNext/>
        <w:keepLines/>
        <w:spacing w:before="156" w:beforeLines="50" w:after="156" w:afterLines="50"/>
        <w:outlineLvl w:val="1"/>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 启封</w:t>
      </w:r>
    </w:p>
    <w:p w14:paraId="32AEC328">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5.1 启封时间和地点</w:t>
      </w:r>
    </w:p>
    <w:p w14:paraId="4073435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采购人在本章第4.2.1项规定的响应文件递交截止时间（启封时间），按照第一章“</w:t>
      </w:r>
      <w:r>
        <w:rPr>
          <w:rFonts w:hint="eastAsia" w:asciiTheme="minorEastAsia" w:hAnsiTheme="minorEastAsia" w:eastAsiaTheme="minorEastAsia" w:cstheme="minorEastAsia"/>
          <w:szCs w:val="21"/>
        </w:rPr>
        <w:t>采购公告/采购邀请书</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szCs w:val="21"/>
        </w:rPr>
        <w:t>第6条的规定进行启封</w:t>
      </w:r>
      <w:r>
        <w:rPr>
          <w:rFonts w:hint="eastAsia" w:asciiTheme="minorEastAsia" w:hAnsiTheme="minorEastAsia" w:eastAsiaTheme="minorEastAsia" w:cstheme="minorEastAsia"/>
        </w:rPr>
        <w:t>。</w:t>
      </w:r>
    </w:p>
    <w:p w14:paraId="0CB4882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供应商若未派法定代表人或其委托代理人出席启封活动，视为该供应商默认启封结果。</w:t>
      </w:r>
    </w:p>
    <w:p w14:paraId="65AD01B8">
      <w:pPr>
        <w:keepNext/>
        <w:keepLines/>
        <w:spacing w:before="120" w:after="120"/>
        <w:outlineLvl w:val="2"/>
        <w:rPr>
          <w:rFonts w:hint="eastAsia" w:asciiTheme="minorEastAsia" w:hAnsiTheme="minorEastAsia" w:eastAsiaTheme="minorEastAsia" w:cstheme="minorEastAsia"/>
          <w:bCs/>
          <w:sz w:val="24"/>
          <w:szCs w:val="32"/>
        </w:rPr>
      </w:pPr>
      <w:r>
        <w:rPr>
          <w:rFonts w:hint="eastAsia" w:asciiTheme="minorEastAsia" w:hAnsiTheme="minorEastAsia" w:eastAsiaTheme="minorEastAsia" w:cstheme="minorEastAsia"/>
          <w:bCs/>
          <w:sz w:val="24"/>
          <w:szCs w:val="32"/>
        </w:rPr>
        <w:t>5.2启封程序</w:t>
      </w:r>
    </w:p>
    <w:p w14:paraId="41753906">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5.2.1主持人按下列程序进行启封：</w:t>
      </w:r>
    </w:p>
    <w:p w14:paraId="51DB44E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（1）公布在响应文件递交截止时间前递交响应文件的供应商名称；</w:t>
      </w:r>
    </w:p>
    <w:p w14:paraId="7E896EA9">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（2）由供应商推选的代表检查响应文件的密封情况；</w:t>
      </w:r>
    </w:p>
    <w:p w14:paraId="2A90DBD2">
      <w:pPr>
        <w:spacing w:line="440" w:lineRule="exact"/>
        <w:ind w:firstLine="420"/>
        <w:rPr>
          <w:rFonts w:hint="eastAsia" w:asciiTheme="minorEastAsia" w:hAnsiTheme="minorEastAsia" w:eastAsiaTheme="minorEastAsia" w:cstheme="minorEastAsia"/>
          <w:bCs/>
        </w:rPr>
      </w:pPr>
      <w:r>
        <w:rPr>
          <w:rFonts w:hint="eastAsia" w:asciiTheme="minorEastAsia" w:hAnsiTheme="minorEastAsia" w:eastAsiaTheme="minorEastAsia" w:cstheme="minorEastAsia"/>
        </w:rPr>
        <w:t>（3）</w:t>
      </w:r>
      <w:r>
        <w:rPr>
          <w:rFonts w:hint="eastAsia" w:asciiTheme="minorEastAsia" w:hAnsiTheme="minorEastAsia" w:eastAsiaTheme="minorEastAsia" w:cstheme="minorEastAsia"/>
          <w:bCs/>
        </w:rPr>
        <w:t>对响应文件进行启封，公布供应商名称、合同包名称、报价、质量目标、交货期、响应保证金递交情况及其他内容；</w:t>
      </w:r>
    </w:p>
    <w:p w14:paraId="5D7A14E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（4）供应商代表、采购人代表、记录人等有关人员在文件签到表签名确认；</w:t>
      </w:r>
    </w:p>
    <w:p w14:paraId="7511B4A9">
      <w:pPr>
        <w:spacing w:line="440" w:lineRule="exact"/>
        <w:ind w:firstLine="420"/>
        <w:rPr>
          <w:rFonts w:hint="eastAsia" w:asciiTheme="minorEastAsia" w:hAnsiTheme="minorEastAsia" w:eastAsiaTheme="minorEastAsia" w:cstheme="minorEastAsia"/>
          <w:bCs/>
        </w:rPr>
      </w:pPr>
      <w:r>
        <w:rPr>
          <w:rFonts w:hint="eastAsia" w:asciiTheme="minorEastAsia" w:hAnsiTheme="minorEastAsia" w:eastAsiaTheme="minorEastAsia" w:cstheme="minorEastAsia"/>
          <w:bCs/>
        </w:rPr>
        <w:t>（5）启封</w:t>
      </w:r>
      <w:r>
        <w:rPr>
          <w:rFonts w:hint="eastAsia" w:asciiTheme="minorEastAsia" w:hAnsiTheme="minorEastAsia" w:eastAsiaTheme="minorEastAsia" w:cstheme="minorEastAsia"/>
        </w:rPr>
        <w:t>结束</w:t>
      </w:r>
      <w:r>
        <w:rPr>
          <w:rFonts w:hint="eastAsia" w:asciiTheme="minorEastAsia" w:hAnsiTheme="minorEastAsia" w:eastAsiaTheme="minorEastAsia" w:cstheme="minorEastAsia"/>
          <w:bCs/>
        </w:rPr>
        <w:t>。</w:t>
      </w:r>
    </w:p>
    <w:p w14:paraId="0CC08883">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bCs/>
        </w:rPr>
        <w:t>5.2.2</w:t>
      </w:r>
      <w:r>
        <w:rPr>
          <w:rFonts w:hint="eastAsia" w:asciiTheme="minorEastAsia" w:hAnsiTheme="minorEastAsia" w:eastAsiaTheme="minorEastAsia" w:cstheme="minorEastAsia"/>
        </w:rPr>
        <w:t>供应商在启封过程中有疑问的，应当在现场提出，采购人将当场作出答复。</w:t>
      </w:r>
    </w:p>
    <w:p w14:paraId="600657C3">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50" w:name="_Toc14201241"/>
      <w:bookmarkStart w:id="51" w:name="_Toc26656972"/>
      <w:bookmarkStart w:id="52" w:name="_Toc9067725"/>
      <w:r>
        <w:rPr>
          <w:rFonts w:hint="eastAsia" w:asciiTheme="minorEastAsia" w:hAnsiTheme="minorEastAsia" w:eastAsiaTheme="minorEastAsia" w:cstheme="minorEastAsia"/>
          <w:bCs/>
          <w:sz w:val="24"/>
          <w:szCs w:val="32"/>
        </w:rPr>
        <w:t>6. 评</w:t>
      </w:r>
      <w:bookmarkEnd w:id="50"/>
      <w:bookmarkEnd w:id="51"/>
      <w:bookmarkEnd w:id="52"/>
      <w:r>
        <w:rPr>
          <w:rFonts w:hint="eastAsia" w:asciiTheme="minorEastAsia" w:hAnsiTheme="minorEastAsia" w:eastAsiaTheme="minorEastAsia" w:cstheme="minorEastAsia"/>
          <w:bCs/>
          <w:sz w:val="24"/>
          <w:szCs w:val="32"/>
        </w:rPr>
        <w:t>审</w:t>
      </w:r>
    </w:p>
    <w:p w14:paraId="60862F99">
      <w:pPr>
        <w:keepNext/>
        <w:keepLines/>
        <w:spacing w:before="120" w:after="120"/>
        <w:outlineLvl w:val="2"/>
        <w:rPr>
          <w:rFonts w:hint="eastAsia" w:asciiTheme="minorEastAsia" w:hAnsiTheme="minorEastAsia" w:eastAsiaTheme="minorEastAsia" w:cstheme="minorEastAsia"/>
          <w:bCs/>
          <w:sz w:val="24"/>
          <w:szCs w:val="32"/>
        </w:rPr>
      </w:pPr>
      <w:bookmarkStart w:id="53" w:name="_Toc26656973"/>
      <w:bookmarkStart w:id="54" w:name="_Toc14201242"/>
      <w:r>
        <w:rPr>
          <w:rFonts w:hint="eastAsia" w:asciiTheme="minorEastAsia" w:hAnsiTheme="minorEastAsia" w:eastAsiaTheme="minorEastAsia" w:cstheme="minorEastAsia"/>
          <w:bCs/>
          <w:sz w:val="24"/>
          <w:szCs w:val="32"/>
        </w:rPr>
        <w:t>6.1</w:t>
      </w:r>
      <w:bookmarkEnd w:id="53"/>
      <w:bookmarkEnd w:id="54"/>
      <w:r>
        <w:rPr>
          <w:rFonts w:hint="eastAsia" w:asciiTheme="minorEastAsia" w:hAnsiTheme="minorEastAsia" w:eastAsiaTheme="minorEastAsia" w:cstheme="minorEastAsia"/>
          <w:bCs/>
          <w:sz w:val="24"/>
          <w:szCs w:val="32"/>
        </w:rPr>
        <w:t>评审小组</w:t>
      </w:r>
    </w:p>
    <w:p w14:paraId="558D7E37">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评审由采购人自行组建的评审小组负责。评审小组人数：3-7人（单数）。</w:t>
      </w:r>
    </w:p>
    <w:p w14:paraId="3DED8B37">
      <w:pPr>
        <w:keepNext/>
        <w:keepLines/>
        <w:spacing w:before="120" w:after="120"/>
        <w:outlineLvl w:val="2"/>
        <w:rPr>
          <w:rFonts w:hint="eastAsia" w:asciiTheme="minorEastAsia" w:hAnsiTheme="minorEastAsia" w:eastAsiaTheme="minorEastAsia" w:cstheme="minorEastAsia"/>
          <w:bCs/>
          <w:sz w:val="24"/>
          <w:szCs w:val="32"/>
        </w:rPr>
      </w:pPr>
      <w:bookmarkStart w:id="55" w:name="_Toc14201244"/>
      <w:bookmarkStart w:id="56" w:name="_Toc26656975"/>
      <w:r>
        <w:rPr>
          <w:rFonts w:hint="eastAsia" w:asciiTheme="minorEastAsia" w:hAnsiTheme="minorEastAsia" w:eastAsiaTheme="minorEastAsia" w:cstheme="minorEastAsia"/>
          <w:bCs/>
          <w:sz w:val="24"/>
          <w:szCs w:val="32"/>
        </w:rPr>
        <w:t>6.2评</w:t>
      </w:r>
      <w:bookmarkEnd w:id="55"/>
      <w:bookmarkEnd w:id="56"/>
      <w:r>
        <w:rPr>
          <w:rFonts w:hint="eastAsia" w:asciiTheme="minorEastAsia" w:hAnsiTheme="minorEastAsia" w:eastAsiaTheme="minorEastAsia" w:cstheme="minorEastAsia"/>
          <w:bCs/>
          <w:sz w:val="24"/>
          <w:szCs w:val="32"/>
        </w:rPr>
        <w:t>审</w:t>
      </w:r>
    </w:p>
    <w:p w14:paraId="5CA1DDFB">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6.2.1评审小组按照第三章“评审办法”规定的方法、评审因素、标准和程序对响应文件进行评审。</w:t>
      </w:r>
    </w:p>
    <w:p w14:paraId="19C1946B">
      <w:pPr>
        <w:spacing w:line="440" w:lineRule="exact"/>
        <w:ind w:firstLine="420"/>
        <w:rPr>
          <w:rFonts w:hint="eastAsia" w:asciiTheme="minorEastAsia" w:hAnsiTheme="minorEastAsia" w:eastAsiaTheme="minorEastAsia" w:cstheme="minorEastAsia"/>
          <w:color w:val="FF0000"/>
        </w:rPr>
      </w:pPr>
      <w:r>
        <w:rPr>
          <w:rFonts w:hint="eastAsia" w:asciiTheme="minorEastAsia" w:hAnsiTheme="minorEastAsia" w:eastAsiaTheme="minorEastAsia" w:cstheme="minorEastAsia"/>
        </w:rPr>
        <w:t>6.2.2评审完成后，评审小组应向采购人提交书面评审报告和成交候选人名单。评审小组推荐成交候选人的人数为：3人（如不足3人，可以按实际数量推荐）。</w:t>
      </w:r>
    </w:p>
    <w:p w14:paraId="10C3B2D4">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57" w:name="_Toc9067726"/>
      <w:bookmarkStart w:id="58" w:name="_Toc26656976"/>
      <w:bookmarkStart w:id="59" w:name="_Toc14201245"/>
      <w:r>
        <w:rPr>
          <w:rFonts w:hint="eastAsia" w:asciiTheme="minorEastAsia" w:hAnsiTheme="minorEastAsia" w:eastAsiaTheme="minorEastAsia" w:cstheme="minorEastAsia"/>
          <w:bCs/>
          <w:sz w:val="24"/>
          <w:szCs w:val="32"/>
        </w:rPr>
        <w:t>7. 合同授予</w:t>
      </w:r>
      <w:bookmarkEnd w:id="57"/>
      <w:bookmarkEnd w:id="58"/>
      <w:bookmarkEnd w:id="59"/>
    </w:p>
    <w:p w14:paraId="7C090317">
      <w:pPr>
        <w:keepNext/>
        <w:keepLines/>
        <w:spacing w:before="120" w:after="120"/>
        <w:outlineLvl w:val="2"/>
        <w:rPr>
          <w:rFonts w:hint="eastAsia" w:asciiTheme="minorEastAsia" w:hAnsiTheme="minorEastAsia" w:eastAsiaTheme="minorEastAsia" w:cstheme="minorEastAsia"/>
          <w:bCs/>
          <w:sz w:val="24"/>
          <w:szCs w:val="32"/>
        </w:rPr>
      </w:pPr>
      <w:bookmarkStart w:id="60" w:name="_Toc26656977"/>
      <w:bookmarkStart w:id="61" w:name="_Toc14201246"/>
      <w:r>
        <w:rPr>
          <w:rFonts w:hint="eastAsia" w:asciiTheme="minorEastAsia" w:hAnsiTheme="minorEastAsia" w:eastAsiaTheme="minorEastAsia" w:cstheme="minorEastAsia"/>
          <w:bCs/>
          <w:sz w:val="24"/>
          <w:szCs w:val="32"/>
        </w:rPr>
        <w:t>7.1成交候选人公示</w:t>
      </w:r>
      <w:bookmarkEnd w:id="60"/>
      <w:bookmarkEnd w:id="61"/>
    </w:p>
    <w:p w14:paraId="4EA7A6F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采用公开询比方式采购的项目，公示期不得少于</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日。</w:t>
      </w:r>
    </w:p>
    <w:p w14:paraId="78085B44">
      <w:pPr>
        <w:keepNext/>
        <w:keepLines/>
        <w:spacing w:before="120" w:after="120"/>
        <w:outlineLvl w:val="2"/>
        <w:rPr>
          <w:rFonts w:hint="eastAsia" w:asciiTheme="minorEastAsia" w:hAnsiTheme="minorEastAsia" w:eastAsiaTheme="minorEastAsia" w:cstheme="minorEastAsia"/>
          <w:bCs/>
          <w:sz w:val="24"/>
          <w:szCs w:val="32"/>
        </w:rPr>
      </w:pPr>
      <w:bookmarkStart w:id="62" w:name="_Toc14201247"/>
      <w:bookmarkStart w:id="63" w:name="_Toc26656978"/>
      <w:r>
        <w:rPr>
          <w:rFonts w:hint="eastAsia" w:asciiTheme="minorEastAsia" w:hAnsiTheme="minorEastAsia" w:eastAsiaTheme="minorEastAsia" w:cstheme="minorEastAsia"/>
          <w:bCs/>
          <w:sz w:val="24"/>
          <w:szCs w:val="32"/>
        </w:rPr>
        <w:t>7.2评审结果异议</w:t>
      </w:r>
      <w:bookmarkEnd w:id="62"/>
      <w:bookmarkEnd w:id="63"/>
    </w:p>
    <w:p w14:paraId="603F744C">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供应商或其他利害关系人对评审结果有异议的，应在成交候选人公示期间提出。</w:t>
      </w:r>
    </w:p>
    <w:p w14:paraId="0E446AEA">
      <w:pPr>
        <w:keepNext/>
        <w:keepLines/>
        <w:spacing w:before="120" w:after="120"/>
        <w:outlineLvl w:val="2"/>
        <w:rPr>
          <w:rFonts w:hint="eastAsia" w:asciiTheme="minorEastAsia" w:hAnsiTheme="minorEastAsia" w:eastAsiaTheme="minorEastAsia" w:cstheme="minorEastAsia"/>
          <w:bCs/>
          <w:sz w:val="24"/>
          <w:szCs w:val="32"/>
        </w:rPr>
      </w:pPr>
      <w:bookmarkStart w:id="64" w:name="_Toc14201248"/>
      <w:bookmarkStart w:id="65" w:name="_Toc26656979"/>
      <w:r>
        <w:rPr>
          <w:rFonts w:hint="eastAsia" w:asciiTheme="minorEastAsia" w:hAnsiTheme="minorEastAsia" w:eastAsiaTheme="minorEastAsia" w:cstheme="minorEastAsia"/>
          <w:bCs/>
          <w:sz w:val="24"/>
          <w:szCs w:val="32"/>
        </w:rPr>
        <w:t>7.3成交候选人履约能力审查</w:t>
      </w:r>
      <w:bookmarkEnd w:id="64"/>
      <w:bookmarkEnd w:id="65"/>
    </w:p>
    <w:p w14:paraId="618FDB84">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成交候选人的经营、财务状况发生较大变化或存在违法行为，采购人认为可能影响其履约能力的，将在发出成交通知书前提请原评审小组按照询比文件规定的标准和方法进行审查确认。</w:t>
      </w:r>
    </w:p>
    <w:p w14:paraId="798B18C2">
      <w:pPr>
        <w:keepNext/>
        <w:keepLines/>
        <w:spacing w:before="120" w:after="120"/>
        <w:outlineLvl w:val="2"/>
        <w:rPr>
          <w:rFonts w:hint="eastAsia" w:asciiTheme="minorEastAsia" w:hAnsiTheme="minorEastAsia" w:eastAsiaTheme="minorEastAsia" w:cstheme="minorEastAsia"/>
          <w:bCs/>
          <w:sz w:val="24"/>
          <w:szCs w:val="32"/>
        </w:rPr>
      </w:pPr>
      <w:bookmarkStart w:id="66" w:name="_Toc14201253"/>
      <w:bookmarkStart w:id="67" w:name="_Toc26656984"/>
      <w:r>
        <w:rPr>
          <w:rFonts w:hint="eastAsia" w:asciiTheme="minorEastAsia" w:hAnsiTheme="minorEastAsia" w:eastAsiaTheme="minorEastAsia" w:cstheme="minorEastAsia"/>
          <w:bCs/>
          <w:sz w:val="24"/>
          <w:szCs w:val="32"/>
        </w:rPr>
        <w:t>7.4签订合同</w:t>
      </w:r>
      <w:bookmarkEnd w:id="66"/>
      <w:bookmarkEnd w:id="67"/>
    </w:p>
    <w:p w14:paraId="440B37AF">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和成交人应在响应有效期内以及成交通知书发出之日起30日内，根据询比文件和成交人的响应文件订立书面合同。成交人无正当理由拒签合同，在签订合同时向采购人提出附加条件，或不按照询比文件要求变更履约保证金的，采购人取消其成交资格，其响应保证金不予退还；给采购人造成的损失超过响应保证金数额的，成交人还应对超过部分予以赔偿。</w:t>
      </w:r>
    </w:p>
    <w:p w14:paraId="5D4EF37D">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68" w:name="_Toc26656988"/>
      <w:bookmarkStart w:id="69" w:name="_Toc9067727"/>
      <w:bookmarkStart w:id="70" w:name="_Toc14201257"/>
      <w:r>
        <w:rPr>
          <w:rFonts w:hint="eastAsia" w:asciiTheme="minorEastAsia" w:hAnsiTheme="minorEastAsia" w:eastAsiaTheme="minorEastAsia" w:cstheme="minorEastAsia"/>
          <w:bCs/>
          <w:sz w:val="24"/>
          <w:szCs w:val="32"/>
        </w:rPr>
        <w:t>8. 纪律和监督</w:t>
      </w:r>
      <w:bookmarkEnd w:id="68"/>
      <w:bookmarkEnd w:id="69"/>
      <w:bookmarkEnd w:id="70"/>
    </w:p>
    <w:p w14:paraId="19C616A3">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供应商不得相互串通报价或与采购人串通报价，不得向采购人或评审小组成员行贿谋取成交，不得以他人名义报价或以其他方式弄虚作假骗取成交；供应商不得以任何方式干扰、影响评审工作。</w:t>
      </w:r>
    </w:p>
    <w:p w14:paraId="01DEAA3E">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71" w:name="_Toc26656993"/>
      <w:bookmarkStart w:id="72" w:name="_Toc14201262"/>
      <w:r>
        <w:rPr>
          <w:rFonts w:hint="eastAsia" w:asciiTheme="minorEastAsia" w:hAnsiTheme="minorEastAsia" w:eastAsiaTheme="minorEastAsia" w:cstheme="minorEastAsia"/>
          <w:bCs/>
          <w:sz w:val="24"/>
          <w:szCs w:val="32"/>
        </w:rPr>
        <w:t>9投诉</w:t>
      </w:r>
      <w:bookmarkEnd w:id="71"/>
      <w:bookmarkEnd w:id="72"/>
    </w:p>
    <w:p w14:paraId="0F0F0F98">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供应商或其他利害关系人认为询比活动不符合法律法规规定的，可以自知道或应当知道之日起10日内向有关监督部门投诉。投诉应有明确的请求和必要的证明材料。</w:t>
      </w:r>
    </w:p>
    <w:p w14:paraId="670445D3">
      <w:pPr>
        <w:keepNext/>
        <w:keepLines/>
        <w:spacing w:before="156" w:beforeLines="50" w:after="156" w:afterLines="50"/>
        <w:outlineLvl w:val="1"/>
        <w:rPr>
          <w:rFonts w:hint="eastAsia" w:asciiTheme="minorEastAsia" w:hAnsiTheme="minorEastAsia" w:eastAsiaTheme="minorEastAsia" w:cstheme="minorEastAsia"/>
          <w:bCs/>
          <w:sz w:val="24"/>
          <w:szCs w:val="32"/>
        </w:rPr>
      </w:pPr>
      <w:bookmarkStart w:id="73" w:name="_Toc26656994"/>
      <w:bookmarkStart w:id="74" w:name="_Toc14201263"/>
      <w:bookmarkStart w:id="75" w:name="_Toc9067731"/>
      <w:r>
        <w:rPr>
          <w:rFonts w:hint="eastAsia" w:asciiTheme="minorEastAsia" w:hAnsiTheme="minorEastAsia" w:eastAsiaTheme="minorEastAsia" w:cstheme="minorEastAsia"/>
          <w:bCs/>
          <w:sz w:val="24"/>
          <w:szCs w:val="32"/>
        </w:rPr>
        <w:t>10.需要补充的其他内容</w:t>
      </w:r>
      <w:bookmarkEnd w:id="73"/>
      <w:bookmarkEnd w:id="74"/>
      <w:bookmarkEnd w:id="75"/>
    </w:p>
    <w:p w14:paraId="21063FE1">
      <w:pPr>
        <w:spacing w:line="440" w:lineRule="exact"/>
        <w:ind w:firstLine="420"/>
        <w:rPr>
          <w:rFonts w:hint="eastAsia" w:asciiTheme="minorEastAsia" w:hAnsiTheme="minorEastAsia" w:eastAsiaTheme="minorEastAsia" w:cstheme="minorEastAsia"/>
        </w:rPr>
      </w:pPr>
      <w:r>
        <w:rPr>
          <w:rFonts w:hint="eastAsia" w:asciiTheme="minorEastAsia" w:hAnsiTheme="minorEastAsia" w:eastAsiaTheme="minorEastAsia" w:cstheme="minorEastAsia"/>
        </w:rPr>
        <w:t>需要补充的其他内容：_____________________。</w:t>
      </w:r>
    </w:p>
    <w:p w14:paraId="130F6C20">
      <w:pPr>
        <w:pStyle w:val="24"/>
        <w:jc w:val="right"/>
        <w:rPr>
          <w:rFonts w:hint="default" w:ascii="Times New Roman" w:hAnsi="Times New Roman"/>
          <w:color w:val="auto"/>
          <w:sz w:val="21"/>
          <w:szCs w:val="22"/>
        </w:rPr>
      </w:pPr>
    </w:p>
    <w:p w14:paraId="7B813EF8">
      <w:pPr>
        <w:keepNext/>
        <w:keepLines/>
        <w:tabs>
          <w:tab w:val="left" w:pos="0"/>
        </w:tabs>
        <w:spacing w:before="312" w:beforeLines="100" w:after="312" w:afterLines="100" w:line="400" w:lineRule="exact"/>
        <w:jc w:val="center"/>
        <w:outlineLvl w:val="0"/>
        <w:rPr>
          <w:rFonts w:hint="eastAsia" w:asciiTheme="minorEastAsia" w:hAnsiTheme="minorEastAsia" w:eastAsiaTheme="minorEastAsia" w:cstheme="minorEastAsia"/>
          <w:b/>
          <w:bCs/>
          <w:kern w:val="44"/>
          <w:sz w:val="36"/>
          <w:szCs w:val="44"/>
        </w:rPr>
      </w:pPr>
      <w:r>
        <w:rPr>
          <w:rFonts w:hint="eastAsia" w:asciiTheme="minorEastAsia" w:hAnsiTheme="minorEastAsia" w:eastAsiaTheme="minorEastAsia" w:cstheme="minorEastAsia"/>
          <w:b/>
          <w:bCs/>
          <w:kern w:val="44"/>
          <w:sz w:val="36"/>
          <w:szCs w:val="44"/>
        </w:rPr>
        <w:t>第三章</w:t>
      </w:r>
      <w:r>
        <w:rPr>
          <w:rFonts w:hint="eastAsia" w:asciiTheme="minorEastAsia" w:hAnsiTheme="minorEastAsia" w:cstheme="minorEastAsia"/>
          <w:b/>
          <w:bCs/>
          <w:kern w:val="44"/>
          <w:sz w:val="36"/>
          <w:szCs w:val="44"/>
          <w:lang w:val="en-US" w:eastAsia="zh-CN"/>
        </w:rPr>
        <w:t xml:space="preserve">  </w:t>
      </w:r>
      <w:r>
        <w:rPr>
          <w:rFonts w:hint="eastAsia" w:asciiTheme="minorEastAsia" w:hAnsiTheme="minorEastAsia" w:eastAsiaTheme="minorEastAsia" w:cstheme="minorEastAsia"/>
          <w:b/>
          <w:bCs/>
          <w:kern w:val="44"/>
          <w:sz w:val="36"/>
          <w:szCs w:val="44"/>
        </w:rPr>
        <w:t>评审办法</w:t>
      </w:r>
    </w:p>
    <w:p w14:paraId="07710449">
      <w:pPr>
        <w:spacing w:after="312" w:afterLines="100" w:line="420" w:lineRule="exact"/>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评审办法前附表（综合评分法）</w:t>
      </w:r>
    </w:p>
    <w:tbl>
      <w:tblPr>
        <w:tblStyle w:val="1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67CA4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748" w:type="dxa"/>
            <w:gridSpan w:val="2"/>
            <w:vAlign w:val="center"/>
          </w:tcPr>
          <w:p w14:paraId="6A0F3A90">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条款号</w:t>
            </w:r>
          </w:p>
        </w:tc>
        <w:tc>
          <w:tcPr>
            <w:tcW w:w="1774" w:type="dxa"/>
            <w:vAlign w:val="center"/>
          </w:tcPr>
          <w:p w14:paraId="5497D4E3">
            <w:pPr>
              <w:widowControl/>
              <w:ind w:firstLine="105" w:firstLineChars="5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评审因素</w:t>
            </w:r>
          </w:p>
        </w:tc>
        <w:tc>
          <w:tcPr>
            <w:tcW w:w="5676" w:type="dxa"/>
            <w:vAlign w:val="center"/>
          </w:tcPr>
          <w:p w14:paraId="51433F03">
            <w:pPr>
              <w:widowControl/>
              <w:ind w:firstLine="105" w:firstLineChars="5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评审标准</w:t>
            </w:r>
          </w:p>
        </w:tc>
      </w:tr>
      <w:tr w14:paraId="1D3E8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486A68B1">
            <w:pPr>
              <w:widowControl/>
              <w:jc w:val="center"/>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1</w:t>
            </w:r>
          </w:p>
        </w:tc>
        <w:tc>
          <w:tcPr>
            <w:tcW w:w="1060" w:type="dxa"/>
            <w:vAlign w:val="center"/>
          </w:tcPr>
          <w:p w14:paraId="42296C8E">
            <w:pPr>
              <w:widowControl/>
              <w:jc w:val="center"/>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评审方法</w:t>
            </w:r>
          </w:p>
        </w:tc>
        <w:tc>
          <w:tcPr>
            <w:tcW w:w="1774" w:type="dxa"/>
            <w:tcMar>
              <w:left w:w="75" w:type="dxa"/>
            </w:tcMar>
            <w:vAlign w:val="center"/>
          </w:tcPr>
          <w:p w14:paraId="4560795D">
            <w:pPr>
              <w:widowControl/>
              <w:adjustRightInd w:val="0"/>
              <w:snapToGrid w:val="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成交候选人</w:t>
            </w:r>
          </w:p>
          <w:p w14:paraId="710AD353">
            <w:pPr>
              <w:widowControl/>
              <w:adjustRightInd w:val="0"/>
              <w:snapToGrid w:val="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排序方法</w:t>
            </w:r>
          </w:p>
        </w:tc>
        <w:tc>
          <w:tcPr>
            <w:tcW w:w="5676" w:type="dxa"/>
            <w:tcMar>
              <w:left w:w="75" w:type="dxa"/>
            </w:tcMar>
            <w:vAlign w:val="center"/>
          </w:tcPr>
          <w:p w14:paraId="7A974486">
            <w:pPr>
              <w:widowControl/>
              <w:adjustRightInd w:val="0"/>
              <w:snapToGrid w:val="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按综合得分由高到低的顺序依次推荐成交候选人：</w:t>
            </w:r>
          </w:p>
          <w:p w14:paraId="5B7C9EE7">
            <w:pPr>
              <w:widowControl/>
              <w:adjustRightInd w:val="0"/>
              <w:snapToGrid w:val="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当综合得分相等时，以评审价得分高的优先；评审价得分也相等的，以评审价低的优先；评审价也相等的，以递交响应文件在前的优先。</w:t>
            </w:r>
          </w:p>
        </w:tc>
      </w:tr>
    </w:tbl>
    <w:p w14:paraId="72D72927">
      <w:pPr>
        <w:adjustRightInd w:val="0"/>
        <w:snapToGrid w:val="0"/>
        <w:spacing w:line="360" w:lineRule="auto"/>
        <w:ind w:firstLine="420"/>
        <w:textAlignment w:val="baseline"/>
        <w:rPr>
          <w:rFonts w:hint="eastAsia" w:asciiTheme="minorEastAsia" w:hAnsiTheme="minorEastAsia" w:eastAsiaTheme="minorEastAsia" w:cstheme="minorEastAsia"/>
          <w:szCs w:val="21"/>
        </w:rPr>
      </w:pPr>
    </w:p>
    <w:tbl>
      <w:tblPr>
        <w:tblStyle w:val="1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0D73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08CED996">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条款号</w:t>
            </w:r>
          </w:p>
        </w:tc>
        <w:tc>
          <w:tcPr>
            <w:tcW w:w="1808" w:type="dxa"/>
            <w:vAlign w:val="center"/>
          </w:tcPr>
          <w:p w14:paraId="7A3C1E82">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评审因素</w:t>
            </w:r>
          </w:p>
        </w:tc>
        <w:tc>
          <w:tcPr>
            <w:tcW w:w="5659" w:type="dxa"/>
            <w:vAlign w:val="center"/>
          </w:tcPr>
          <w:p w14:paraId="5E016D4D">
            <w:pPr>
              <w:widowControl/>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kern w:val="0"/>
                <w:szCs w:val="21"/>
              </w:rPr>
              <w:t>评审标准</w:t>
            </w:r>
          </w:p>
        </w:tc>
      </w:tr>
      <w:tr w14:paraId="3557B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512B86A3">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2.1.1</w:t>
            </w:r>
          </w:p>
        </w:tc>
        <w:tc>
          <w:tcPr>
            <w:tcW w:w="1047" w:type="dxa"/>
            <w:vMerge w:val="restart"/>
            <w:vAlign w:val="center"/>
          </w:tcPr>
          <w:p w14:paraId="6F6918D2">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形式评审标准</w:t>
            </w:r>
          </w:p>
        </w:tc>
        <w:tc>
          <w:tcPr>
            <w:tcW w:w="1808" w:type="dxa"/>
            <w:tcMar>
              <w:left w:w="75" w:type="dxa"/>
            </w:tcMar>
            <w:vAlign w:val="center"/>
          </w:tcPr>
          <w:p w14:paraId="79B9F9C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供应商名称</w:t>
            </w:r>
          </w:p>
        </w:tc>
        <w:tc>
          <w:tcPr>
            <w:tcW w:w="5659" w:type="dxa"/>
            <w:tcMar>
              <w:left w:w="75" w:type="dxa"/>
            </w:tcMar>
            <w:vAlign w:val="center"/>
          </w:tcPr>
          <w:p w14:paraId="703CD32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与营业执照、资质证书一致</w:t>
            </w:r>
          </w:p>
        </w:tc>
      </w:tr>
      <w:tr w14:paraId="29E1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C05E6C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7647725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77D0AE88">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响应文件格式</w:t>
            </w:r>
          </w:p>
        </w:tc>
        <w:tc>
          <w:tcPr>
            <w:tcW w:w="5659" w:type="dxa"/>
            <w:tcMar>
              <w:left w:w="75" w:type="dxa"/>
            </w:tcMar>
            <w:vAlign w:val="center"/>
          </w:tcPr>
          <w:p w14:paraId="75B6499C">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符合第六章“响应文件格式”的规定，关键字迹清晰可辨</w:t>
            </w:r>
          </w:p>
        </w:tc>
      </w:tr>
      <w:tr w14:paraId="7CED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1E4FC7B">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638437E6">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60BEBDDC">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签名盖章</w:t>
            </w:r>
          </w:p>
        </w:tc>
        <w:tc>
          <w:tcPr>
            <w:tcW w:w="5659" w:type="dxa"/>
            <w:tcMar>
              <w:left w:w="75" w:type="dxa"/>
            </w:tcMar>
            <w:vAlign w:val="center"/>
          </w:tcPr>
          <w:p w14:paraId="1F96459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符合第二章“供应商须知”第3.6.3项的规定</w:t>
            </w:r>
          </w:p>
        </w:tc>
      </w:tr>
      <w:tr w14:paraId="360BB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888A054">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2.1.2</w:t>
            </w:r>
          </w:p>
        </w:tc>
        <w:tc>
          <w:tcPr>
            <w:tcW w:w="1047" w:type="dxa"/>
            <w:vAlign w:val="center"/>
          </w:tcPr>
          <w:p w14:paraId="15E73296">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资格评审标准</w:t>
            </w:r>
          </w:p>
        </w:tc>
        <w:tc>
          <w:tcPr>
            <w:tcW w:w="1808" w:type="dxa"/>
            <w:tcMar>
              <w:left w:w="75" w:type="dxa"/>
            </w:tcMar>
            <w:vAlign w:val="center"/>
          </w:tcPr>
          <w:p w14:paraId="4560D55F">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资质条件、能力、信誉</w:t>
            </w:r>
          </w:p>
        </w:tc>
        <w:tc>
          <w:tcPr>
            <w:tcW w:w="5659" w:type="dxa"/>
            <w:tcMar>
              <w:left w:w="75" w:type="dxa"/>
            </w:tcMar>
            <w:vAlign w:val="center"/>
          </w:tcPr>
          <w:p w14:paraId="15463BCC">
            <w:pPr>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符合第二章“供应商须知”第1.2.1项规定</w:t>
            </w:r>
          </w:p>
        </w:tc>
      </w:tr>
      <w:tr w14:paraId="0DFA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08285BE0">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2.1.3</w:t>
            </w:r>
          </w:p>
        </w:tc>
        <w:tc>
          <w:tcPr>
            <w:tcW w:w="1047" w:type="dxa"/>
            <w:vMerge w:val="restart"/>
            <w:vAlign w:val="center"/>
          </w:tcPr>
          <w:p w14:paraId="0774938D">
            <w:pPr>
              <w:widowControl/>
              <w:adjustRightInd w:val="0"/>
              <w:snapToGrid w:val="0"/>
              <w:spacing w:line="360" w:lineRule="atLeas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响应性评审标准</w:t>
            </w:r>
          </w:p>
        </w:tc>
        <w:tc>
          <w:tcPr>
            <w:tcW w:w="1808" w:type="dxa"/>
            <w:tcMar>
              <w:left w:w="75" w:type="dxa"/>
            </w:tcMar>
            <w:vAlign w:val="center"/>
          </w:tcPr>
          <w:p w14:paraId="4E410A6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报价内容</w:t>
            </w:r>
          </w:p>
        </w:tc>
        <w:tc>
          <w:tcPr>
            <w:tcW w:w="5659" w:type="dxa"/>
            <w:tcMar>
              <w:left w:w="75" w:type="dxa"/>
            </w:tcMar>
            <w:vAlign w:val="center"/>
          </w:tcPr>
          <w:p w14:paraId="71BB8BC5">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rPr>
              <w:t>符合第一章“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”规定</w:t>
            </w:r>
          </w:p>
        </w:tc>
      </w:tr>
      <w:tr w14:paraId="78301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4FBC59C">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4885478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385CBD5">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交货期</w:t>
            </w:r>
          </w:p>
        </w:tc>
        <w:tc>
          <w:tcPr>
            <w:tcW w:w="5659" w:type="dxa"/>
            <w:tcMar>
              <w:left w:w="75" w:type="dxa"/>
            </w:tcMar>
            <w:vAlign w:val="center"/>
          </w:tcPr>
          <w:p w14:paraId="243C560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rPr>
              <w:t>符合第一章“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”规定</w:t>
            </w:r>
          </w:p>
        </w:tc>
      </w:tr>
      <w:tr w14:paraId="64A0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465ABF4">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8E4497C">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5617C35A">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质量要求</w:t>
            </w:r>
          </w:p>
        </w:tc>
        <w:tc>
          <w:tcPr>
            <w:tcW w:w="5659" w:type="dxa"/>
            <w:tcMar>
              <w:left w:w="75" w:type="dxa"/>
            </w:tcMar>
            <w:vAlign w:val="center"/>
          </w:tcPr>
          <w:p w14:paraId="3718C848">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符合第二章“供应商须知”第1.1项规定</w:t>
            </w:r>
          </w:p>
        </w:tc>
      </w:tr>
      <w:tr w14:paraId="74B5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F918D8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D5BEAB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362388CB">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响应有效期</w:t>
            </w:r>
          </w:p>
        </w:tc>
        <w:tc>
          <w:tcPr>
            <w:tcW w:w="5659" w:type="dxa"/>
            <w:tcMar>
              <w:left w:w="75" w:type="dxa"/>
            </w:tcMar>
            <w:vAlign w:val="center"/>
          </w:tcPr>
          <w:p w14:paraId="7C4003AA">
            <w:pPr>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符合第二章“供应商须知”第3.3.1项规定</w:t>
            </w:r>
          </w:p>
        </w:tc>
      </w:tr>
      <w:tr w14:paraId="04BF9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248F5F9">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2615EAF0">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4F97DC4E">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响应保证金</w:t>
            </w:r>
          </w:p>
        </w:tc>
        <w:tc>
          <w:tcPr>
            <w:tcW w:w="5659" w:type="dxa"/>
            <w:tcMar>
              <w:left w:w="75" w:type="dxa"/>
            </w:tcMar>
            <w:vAlign w:val="center"/>
          </w:tcPr>
          <w:p w14:paraId="3F05920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符合第二章“供应商须知”第3.4.1项规定</w:t>
            </w:r>
          </w:p>
        </w:tc>
      </w:tr>
      <w:tr w14:paraId="49E9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F331C0E">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6E77E76">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907DB07">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权利义务</w:t>
            </w:r>
          </w:p>
        </w:tc>
        <w:tc>
          <w:tcPr>
            <w:tcW w:w="5659" w:type="dxa"/>
            <w:tcMar>
              <w:left w:w="75" w:type="dxa"/>
            </w:tcMar>
            <w:vAlign w:val="center"/>
          </w:tcPr>
          <w:p w14:paraId="6398D882">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符合询比文件规定</w:t>
            </w:r>
          </w:p>
        </w:tc>
      </w:tr>
      <w:tr w14:paraId="0063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732F48A">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46CDDB57">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4E9BE5D4">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询比文件的获取</w:t>
            </w:r>
          </w:p>
        </w:tc>
        <w:tc>
          <w:tcPr>
            <w:tcW w:w="5659" w:type="dxa"/>
            <w:tcMar>
              <w:left w:w="75" w:type="dxa"/>
            </w:tcMar>
            <w:vAlign w:val="center"/>
          </w:tcPr>
          <w:p w14:paraId="2826AB99">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符合</w:t>
            </w:r>
            <w:r>
              <w:rPr>
                <w:rFonts w:hint="eastAsia" w:asciiTheme="minorEastAsia" w:hAnsiTheme="minorEastAsia" w:eastAsiaTheme="minorEastAsia" w:cstheme="minorEastAsia"/>
              </w:rPr>
              <w:t>第一章“</w:t>
            </w:r>
            <w:r>
              <w:rPr>
                <w:rFonts w:hint="eastAsia" w:asciiTheme="minorEastAsia" w:hAnsiTheme="minorEastAsia" w:eastAsiaTheme="minorEastAsia" w:cstheme="minorEastAsia"/>
                <w:szCs w:val="21"/>
              </w:rPr>
              <w:t>采购公告</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bCs/>
                <w:kern w:val="0"/>
                <w:szCs w:val="21"/>
              </w:rPr>
              <w:t>规定</w:t>
            </w:r>
          </w:p>
        </w:tc>
      </w:tr>
      <w:tr w14:paraId="6DBAE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624DC48">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39EC560F">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D04C893">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46BE2462">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未以联合体形式报价</w:t>
            </w:r>
          </w:p>
        </w:tc>
      </w:tr>
      <w:tr w14:paraId="1A1D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BE5CFA8">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14336FA4">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55D4B1FB">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6BCE579D">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没有分包</w:t>
            </w:r>
          </w:p>
        </w:tc>
      </w:tr>
      <w:tr w14:paraId="2B669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718C071">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00390F41">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4402E3BB">
            <w:pPr>
              <w:widowControl/>
              <w:adjustRightInd w:val="0"/>
              <w:snapToGrid w:val="0"/>
              <w:spacing w:line="360" w:lineRule="atLeast"/>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052431F2">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（1）报价未超过询比文件设定的最高限价。</w:t>
            </w:r>
          </w:p>
          <w:p w14:paraId="121B88C5">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（2）已标价的报价清单总报价和报价函的报价一致（四舍五入除外）。</w:t>
            </w:r>
          </w:p>
          <w:p w14:paraId="0F4EA5F1">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（3）报价的大写数值能确定具体数值，未出现数量级错误、报价金额单位错误。</w:t>
            </w:r>
          </w:p>
          <w:p w14:paraId="1E970B30">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（4）同一供应商未递交两个以上不同的报价。</w:t>
            </w:r>
          </w:p>
          <w:p w14:paraId="2E332F9A">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（5）供应商按采购人提供的书面报价清单填写了报价，且未修改报价清单说明、数量等实质性内容。</w:t>
            </w:r>
          </w:p>
          <w:p w14:paraId="05269FDD">
            <w:pPr>
              <w:widowControl/>
              <w:adjustRightInd w:val="0"/>
              <w:snapToGrid w:val="0"/>
              <w:spacing w:line="360" w:lineRule="atLeas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（6）已标价</w:t>
            </w:r>
            <w:r>
              <w:rPr>
                <w:rFonts w:hint="eastAsia" w:asciiTheme="minorEastAsia" w:hAnsiTheme="minorEastAsia" w:eastAsiaTheme="minorEastAsia" w:cstheme="minorEastAsia"/>
                <w:kern w:val="0"/>
                <w:szCs w:val="21"/>
              </w:rPr>
              <w:t>报价清单中未更改询比文件确定的暂列金额。</w:t>
            </w:r>
          </w:p>
        </w:tc>
      </w:tr>
      <w:tr w14:paraId="12EF5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88DD629">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047" w:type="dxa"/>
            <w:vMerge w:val="continue"/>
            <w:vAlign w:val="center"/>
          </w:tcPr>
          <w:p w14:paraId="2C754F32">
            <w:pPr>
              <w:widowControl/>
              <w:adjustRightInd w:val="0"/>
              <w:snapToGrid w:val="0"/>
              <w:spacing w:line="360" w:lineRule="atLeast"/>
              <w:jc w:val="center"/>
              <w:rPr>
                <w:rFonts w:hint="eastAsia" w:asciiTheme="minorEastAsia" w:hAnsiTheme="minorEastAsia" w:eastAsiaTheme="minorEastAsia" w:cstheme="minorEastAsia"/>
                <w:kern w:val="0"/>
                <w:szCs w:val="21"/>
              </w:rPr>
            </w:pPr>
          </w:p>
        </w:tc>
        <w:tc>
          <w:tcPr>
            <w:tcW w:w="1808" w:type="dxa"/>
            <w:tcMar>
              <w:left w:w="75" w:type="dxa"/>
            </w:tcMar>
            <w:vAlign w:val="center"/>
          </w:tcPr>
          <w:p w14:paraId="1BC3AFB3">
            <w:pPr>
              <w:widowControl/>
              <w:adjustRightInd w:val="0"/>
              <w:snapToGrid w:val="0"/>
              <w:spacing w:line="360" w:lineRule="atLeast"/>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其他实质性要求</w:t>
            </w:r>
          </w:p>
        </w:tc>
        <w:tc>
          <w:tcPr>
            <w:tcW w:w="5659" w:type="dxa"/>
            <w:tcMar>
              <w:left w:w="75" w:type="dxa"/>
            </w:tcMar>
            <w:vAlign w:val="center"/>
          </w:tcPr>
          <w:p w14:paraId="117CEF04">
            <w:pPr>
              <w:widowControl/>
              <w:adjustRightInd w:val="0"/>
              <w:snapToGrid w:val="0"/>
              <w:spacing w:line="360" w:lineRule="atLeast"/>
              <w:ind w:firstLine="210" w:firstLineChars="1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符合询比文件的其他实质性要求和条件</w:t>
            </w:r>
          </w:p>
        </w:tc>
      </w:tr>
    </w:tbl>
    <w:p w14:paraId="41155829">
      <w:pPr>
        <w:jc w:val="left"/>
        <w:rPr>
          <w:rFonts w:hint="eastAsia" w:asciiTheme="minorEastAsia" w:hAnsiTheme="minorEastAsia" w:eastAsiaTheme="minorEastAsia" w:cstheme="minorEastAsia"/>
          <w:spacing w:val="4"/>
          <w:szCs w:val="21"/>
        </w:rPr>
      </w:pPr>
    </w:p>
    <w:tbl>
      <w:tblPr>
        <w:tblStyle w:val="16"/>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7F001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4B3C2F2D">
            <w:pPr>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条款号</w:t>
            </w:r>
          </w:p>
        </w:tc>
        <w:tc>
          <w:tcPr>
            <w:tcW w:w="1276" w:type="dxa"/>
            <w:tcMar>
              <w:left w:w="75" w:type="dxa"/>
            </w:tcMar>
            <w:vAlign w:val="center"/>
          </w:tcPr>
          <w:p w14:paraId="58520F41">
            <w:pPr>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条款内容</w:t>
            </w:r>
          </w:p>
        </w:tc>
        <w:tc>
          <w:tcPr>
            <w:tcW w:w="6232" w:type="dxa"/>
            <w:vAlign w:val="center"/>
          </w:tcPr>
          <w:p w14:paraId="24262092">
            <w:pPr>
              <w:widowControl/>
              <w:snapToGrid w:val="0"/>
              <w:jc w:val="center"/>
              <w:rPr>
                <w:rFonts w:hint="eastAsia" w:asciiTheme="minorEastAsia" w:hAnsiTheme="minorEastAsia" w:eastAsiaTheme="minorEastAsia" w:cstheme="minorEastAsia"/>
                <w:b/>
                <w:bCs/>
                <w:kern w:val="0"/>
                <w:szCs w:val="21"/>
              </w:rPr>
            </w:pPr>
            <w:r>
              <w:rPr>
                <w:rFonts w:hint="eastAsia" w:asciiTheme="minorEastAsia" w:hAnsiTheme="minorEastAsia" w:eastAsiaTheme="minorEastAsia" w:cstheme="minorEastAsia"/>
                <w:b/>
                <w:bCs/>
                <w:kern w:val="0"/>
                <w:szCs w:val="21"/>
              </w:rPr>
              <w:t>编列内容</w:t>
            </w:r>
          </w:p>
        </w:tc>
      </w:tr>
      <w:tr w14:paraId="2C578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49EFCDE7">
            <w:pPr>
              <w:snapToGrid w:val="0"/>
              <w:jc w:val="center"/>
              <w:rPr>
                <w:rFonts w:hint="eastAsia" w:asciiTheme="minorEastAsia" w:hAnsiTheme="minorEastAsia" w:eastAsiaTheme="minorEastAsia" w:cstheme="minorEastAsia"/>
                <w:bCs/>
                <w:color w:val="FF0000"/>
                <w:kern w:val="0"/>
                <w:szCs w:val="21"/>
              </w:rPr>
            </w:pPr>
            <w:r>
              <w:rPr>
                <w:rFonts w:hint="eastAsia" w:asciiTheme="minorEastAsia" w:hAnsiTheme="minorEastAsia" w:eastAsiaTheme="minorEastAsia" w:cstheme="minorEastAsia"/>
                <w:bCs/>
                <w:color w:val="FF0000"/>
                <w:kern w:val="0"/>
                <w:szCs w:val="21"/>
              </w:rPr>
              <w:t>2.2.1</w:t>
            </w:r>
          </w:p>
        </w:tc>
        <w:tc>
          <w:tcPr>
            <w:tcW w:w="1276" w:type="dxa"/>
            <w:tcMar>
              <w:left w:w="75" w:type="dxa"/>
            </w:tcMar>
            <w:vAlign w:val="center"/>
          </w:tcPr>
          <w:p w14:paraId="3DD299E8">
            <w:pPr>
              <w:snapToGrid w:val="0"/>
              <w:jc w:val="left"/>
              <w:rPr>
                <w:rFonts w:hint="eastAsia" w:asciiTheme="minorEastAsia" w:hAnsiTheme="minorEastAsia" w:eastAsiaTheme="minorEastAsia" w:cstheme="minorEastAsia"/>
                <w:bCs/>
                <w:color w:val="auto"/>
                <w:kern w:val="0"/>
                <w:szCs w:val="21"/>
              </w:rPr>
            </w:pPr>
            <w:r>
              <w:rPr>
                <w:rFonts w:hint="eastAsia" w:asciiTheme="minorEastAsia" w:hAnsiTheme="minorEastAsia" w:eastAsiaTheme="minorEastAsia" w:cstheme="minorEastAsia"/>
                <w:color w:val="auto"/>
                <w:szCs w:val="21"/>
              </w:rPr>
              <w:t>分值构成（100分）</w:t>
            </w:r>
          </w:p>
        </w:tc>
        <w:tc>
          <w:tcPr>
            <w:tcW w:w="6232" w:type="dxa"/>
            <w:vAlign w:val="center"/>
          </w:tcPr>
          <w:p w14:paraId="1A48BE67">
            <w:pPr>
              <w:spacing w:line="360" w:lineRule="atLeast"/>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业绩：</w:t>
            </w:r>
            <w:r>
              <w:rPr>
                <w:rFonts w:hint="eastAsia" w:asciiTheme="minorEastAsia" w:hAnsiTheme="minorEastAsia" w:cstheme="minorEastAsia"/>
                <w:color w:val="auto"/>
                <w:szCs w:val="21"/>
                <w:u w:val="single"/>
                <w:lang w:val="en-US" w:eastAsia="zh-CN"/>
              </w:rPr>
              <w:t xml:space="preserve">  6 </w:t>
            </w:r>
            <w:r>
              <w:rPr>
                <w:rFonts w:hint="eastAsia" w:asciiTheme="minorEastAsia" w:hAnsiTheme="minorEastAsia" w:eastAsiaTheme="minorEastAsia" w:cstheme="minorEastAsia"/>
                <w:color w:val="auto"/>
                <w:szCs w:val="21"/>
              </w:rPr>
              <w:t>分</w:t>
            </w:r>
          </w:p>
          <w:p w14:paraId="0C17414A">
            <w:pPr>
              <w:spacing w:line="360" w:lineRule="atLeast"/>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技术性能：</w:t>
            </w:r>
            <w:r>
              <w:rPr>
                <w:rFonts w:hint="eastAsia" w:asciiTheme="minorEastAsia" w:hAnsiTheme="minorEastAsia" w:cstheme="minorEastAsia"/>
                <w:color w:val="auto"/>
                <w:szCs w:val="21"/>
                <w:u w:val="single"/>
                <w:lang w:val="en-US" w:eastAsia="zh-CN"/>
              </w:rPr>
              <w:t xml:space="preserve">  24 </w:t>
            </w:r>
            <w:r>
              <w:rPr>
                <w:rFonts w:hint="eastAsia" w:asciiTheme="minorEastAsia" w:hAnsiTheme="minorEastAsia" w:eastAsiaTheme="minorEastAsia" w:cstheme="minorEastAsia"/>
                <w:color w:val="auto"/>
                <w:szCs w:val="21"/>
              </w:rPr>
              <w:t>分</w:t>
            </w:r>
          </w:p>
          <w:p w14:paraId="5F832731">
            <w:pPr>
              <w:spacing w:line="360" w:lineRule="atLeast"/>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供货方案：</w:t>
            </w:r>
            <w:r>
              <w:rPr>
                <w:rFonts w:hint="eastAsia" w:asciiTheme="minorEastAsia" w:hAnsiTheme="minorEastAsia" w:cstheme="minorEastAsia"/>
                <w:color w:val="auto"/>
                <w:szCs w:val="21"/>
                <w:u w:val="single"/>
                <w:lang w:val="en-US" w:eastAsia="zh-CN"/>
              </w:rPr>
              <w:t xml:space="preserve">  </w:t>
            </w:r>
            <w:r>
              <w:rPr>
                <w:rFonts w:hint="eastAsia" w:asciiTheme="minorEastAsia" w:hAnsiTheme="minorEastAsia" w:eastAsiaTheme="minorEastAsia" w:cstheme="minorEastAsia"/>
                <w:color w:val="auto"/>
                <w:szCs w:val="21"/>
                <w:u w:val="single"/>
              </w:rPr>
              <w:t>30</w:t>
            </w:r>
            <w:r>
              <w:rPr>
                <w:rFonts w:hint="eastAsia" w:asciiTheme="minorEastAsia" w:hAnsiTheme="minorEastAsia" w:cstheme="minorEastAsia"/>
                <w:color w:val="auto"/>
                <w:szCs w:val="21"/>
                <w:u w:val="single"/>
                <w:lang w:val="en-US" w:eastAsia="zh-CN"/>
              </w:rPr>
              <w:t xml:space="preserve"> </w:t>
            </w:r>
            <w:r>
              <w:rPr>
                <w:rFonts w:hint="eastAsia" w:asciiTheme="minorEastAsia" w:hAnsiTheme="minorEastAsia" w:eastAsiaTheme="minorEastAsia" w:cstheme="minorEastAsia"/>
                <w:color w:val="auto"/>
                <w:szCs w:val="21"/>
              </w:rPr>
              <w:t>分</w:t>
            </w:r>
          </w:p>
          <w:p w14:paraId="15EF7C2E">
            <w:pPr>
              <w:spacing w:line="360" w:lineRule="atLeast"/>
              <w:rPr>
                <w:rFonts w:hint="eastAsia"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szCs w:val="21"/>
              </w:rPr>
              <w:t>评审价：</w:t>
            </w:r>
            <w:r>
              <w:rPr>
                <w:rFonts w:hint="eastAsia" w:asciiTheme="minorEastAsia" w:hAnsiTheme="minorEastAsia" w:cstheme="minorEastAsia"/>
                <w:color w:val="auto"/>
                <w:szCs w:val="21"/>
                <w:u w:val="single"/>
                <w:lang w:val="en-US" w:eastAsia="zh-CN"/>
              </w:rPr>
              <w:t xml:space="preserve">  40 </w:t>
            </w:r>
            <w:r>
              <w:rPr>
                <w:rFonts w:hint="eastAsia" w:asciiTheme="minorEastAsia" w:hAnsiTheme="minorEastAsia" w:eastAsiaTheme="minorEastAsia" w:cstheme="minorEastAsia"/>
                <w:color w:val="auto"/>
                <w:szCs w:val="21"/>
              </w:rPr>
              <w:t>分</w:t>
            </w:r>
          </w:p>
        </w:tc>
      </w:tr>
      <w:tr w14:paraId="49F01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5" w:hRule="atLeast"/>
          <w:jc w:val="center"/>
        </w:trPr>
        <w:tc>
          <w:tcPr>
            <w:tcW w:w="1696" w:type="dxa"/>
            <w:tcBorders>
              <w:top w:val="single" w:color="auto" w:sz="4" w:space="0"/>
              <w:bottom w:val="single" w:color="auto" w:sz="4" w:space="0"/>
              <w:right w:val="single" w:color="auto" w:sz="4" w:space="0"/>
            </w:tcBorders>
            <w:vAlign w:val="center"/>
          </w:tcPr>
          <w:p w14:paraId="7DE87348">
            <w:pPr>
              <w:snapToGrid w:val="0"/>
              <w:jc w:val="center"/>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16B94F36">
            <w:pPr>
              <w:snapToGrid w:val="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334AC92C">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评审基准价的计算：</w:t>
            </w:r>
          </w:p>
          <w:p w14:paraId="0A660E59">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在启封现场，采购人将当场计算并宣布评审基准价。</w:t>
            </w:r>
          </w:p>
          <w:p w14:paraId="03C2CF9D">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（1）评审价的确定：</w:t>
            </w:r>
          </w:p>
          <w:p w14:paraId="4FA9928A">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评审价＝报价函文字报价（大小写不一致时以大写为准）</w:t>
            </w:r>
          </w:p>
          <w:p w14:paraId="6689398E">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（2）评审价平均值的计算：</w:t>
            </w:r>
          </w:p>
          <w:p w14:paraId="0A3DD9D4">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1BEECEA5">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（3）评审基准价的确定：</w:t>
            </w:r>
          </w:p>
          <w:p w14:paraId="3341ABD1">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将评审价平均值直接作为评审基准价。</w:t>
            </w:r>
          </w:p>
          <w:p w14:paraId="094DAFCB">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在评审过程中，评审小组应对采购人计算的评审基准价进行复核，存在计算错误的应予以修正并在评审报告中作出说明。除此之外，评审基准价在整个评审期间保持不变，不随任何因素发生变化。</w:t>
            </w:r>
          </w:p>
        </w:tc>
      </w:tr>
      <w:tr w14:paraId="51CB7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17" w:hRule="atLeast"/>
          <w:jc w:val="center"/>
        </w:trPr>
        <w:tc>
          <w:tcPr>
            <w:tcW w:w="1696" w:type="dxa"/>
            <w:tcBorders>
              <w:top w:val="single" w:color="auto" w:sz="4" w:space="0"/>
              <w:right w:val="single" w:color="auto" w:sz="4" w:space="0"/>
            </w:tcBorders>
            <w:vAlign w:val="center"/>
          </w:tcPr>
          <w:p w14:paraId="07F6C48C">
            <w:pPr>
              <w:snapToGrid w:val="0"/>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2.2.3</w:t>
            </w:r>
          </w:p>
        </w:tc>
        <w:tc>
          <w:tcPr>
            <w:tcW w:w="1276" w:type="dxa"/>
            <w:tcBorders>
              <w:top w:val="single" w:color="auto" w:sz="4" w:space="0"/>
              <w:right w:val="single" w:color="auto" w:sz="4" w:space="0"/>
            </w:tcBorders>
            <w:tcMar>
              <w:left w:w="75" w:type="dxa"/>
            </w:tcMar>
            <w:vAlign w:val="center"/>
          </w:tcPr>
          <w:p w14:paraId="2CF965C0">
            <w:pPr>
              <w:snapToGrid w:val="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4C8B54F9">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偏差率=100% ×（供应商评审价－评审基准价）/评审基准价</w:t>
            </w:r>
          </w:p>
          <w:p w14:paraId="2D5198A2">
            <w:pPr>
              <w:spacing w:line="360" w:lineRule="atLeas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偏差率保留</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u w:val="single"/>
              </w:rPr>
              <w:t>2</w:t>
            </w:r>
            <w:r>
              <w:rPr>
                <w:rFonts w:hint="eastAsia" w:asciiTheme="minorEastAsia" w:hAnsiTheme="minorEastAsia" w:eastAsiaTheme="minorEastAsia" w:cstheme="minorEastAsia"/>
                <w:szCs w:val="21"/>
              </w:rPr>
              <w:t>位小数</w:t>
            </w:r>
          </w:p>
        </w:tc>
      </w:tr>
    </w:tbl>
    <w:p w14:paraId="10684D91">
      <w:pPr>
        <w:jc w:val="left"/>
        <w:rPr>
          <w:rFonts w:hint="eastAsia" w:asciiTheme="minorEastAsia" w:hAnsiTheme="minorEastAsia" w:eastAsiaTheme="minorEastAsia" w:cstheme="minorEastAsia"/>
          <w:spacing w:val="4"/>
          <w:szCs w:val="21"/>
        </w:rPr>
      </w:pPr>
    </w:p>
    <w:p w14:paraId="5F06399D">
      <w:pPr>
        <w:jc w:val="left"/>
        <w:rPr>
          <w:rFonts w:hint="eastAsia" w:asciiTheme="minorEastAsia" w:hAnsiTheme="minorEastAsia" w:eastAsiaTheme="minorEastAsia" w:cstheme="minorEastAsia"/>
          <w:spacing w:val="4"/>
          <w:szCs w:val="21"/>
        </w:rPr>
      </w:pPr>
    </w:p>
    <w:p w14:paraId="0F6F0B65">
      <w:pPr>
        <w:jc w:val="left"/>
        <w:rPr>
          <w:rFonts w:hint="eastAsia" w:asciiTheme="minorEastAsia" w:hAnsiTheme="minorEastAsia" w:eastAsiaTheme="minorEastAsia" w:cstheme="minorEastAsia"/>
          <w:spacing w:val="4"/>
          <w:szCs w:val="21"/>
        </w:rPr>
      </w:pPr>
    </w:p>
    <w:p w14:paraId="2036510E">
      <w:pPr>
        <w:jc w:val="left"/>
        <w:rPr>
          <w:rFonts w:hint="eastAsia" w:asciiTheme="minorEastAsia" w:hAnsiTheme="minorEastAsia" w:eastAsiaTheme="minorEastAsia" w:cstheme="minorEastAsia"/>
          <w:spacing w:val="4"/>
          <w:szCs w:val="21"/>
        </w:rPr>
      </w:pPr>
    </w:p>
    <w:tbl>
      <w:tblPr>
        <w:tblStyle w:val="16"/>
        <w:tblW w:w="10110" w:type="dxa"/>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705"/>
        <w:gridCol w:w="990"/>
        <w:gridCol w:w="1155"/>
        <w:gridCol w:w="709"/>
        <w:gridCol w:w="5696"/>
      </w:tblGrid>
      <w:tr w14:paraId="66AD9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4414" w:type="dxa"/>
            <w:gridSpan w:val="5"/>
            <w:tcBorders>
              <w:top w:val="single" w:color="auto" w:sz="4" w:space="0"/>
            </w:tcBorders>
          </w:tcPr>
          <w:p w14:paraId="5DB8FF3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评分因素与权重分值</w:t>
            </w:r>
          </w:p>
        </w:tc>
        <w:tc>
          <w:tcPr>
            <w:tcW w:w="5696" w:type="dxa"/>
            <w:vMerge w:val="restart"/>
            <w:tcBorders>
              <w:top w:val="single" w:color="auto" w:sz="4" w:space="0"/>
            </w:tcBorders>
            <w:vAlign w:val="center"/>
          </w:tcPr>
          <w:p w14:paraId="0567FA8B">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评分标准</w:t>
            </w:r>
          </w:p>
        </w:tc>
      </w:tr>
      <w:tr w14:paraId="4E3D4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blHeader/>
        </w:trPr>
        <w:tc>
          <w:tcPr>
            <w:tcW w:w="855" w:type="dxa"/>
            <w:vAlign w:val="center"/>
          </w:tcPr>
          <w:p w14:paraId="4497E6A5">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条款号</w:t>
            </w:r>
          </w:p>
        </w:tc>
        <w:tc>
          <w:tcPr>
            <w:tcW w:w="705" w:type="dxa"/>
            <w:vAlign w:val="center"/>
          </w:tcPr>
          <w:p w14:paraId="2EBDF465">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评分因素</w:t>
            </w:r>
          </w:p>
        </w:tc>
        <w:tc>
          <w:tcPr>
            <w:tcW w:w="990" w:type="dxa"/>
            <w:vAlign w:val="center"/>
          </w:tcPr>
          <w:p w14:paraId="01E643A7">
            <w:pPr>
              <w:pageBreakBefore w:val="0"/>
              <w:kinsoku/>
              <w:wordWrap/>
              <w:overflowPunct/>
              <w:topLinePunct w:val="0"/>
              <w:autoSpaceDE/>
              <w:autoSpaceDN/>
              <w:bidi w:val="0"/>
              <w:spacing w:line="380" w:lineRule="atLeast"/>
              <w:ind w:left="-105" w:leftChars="-50" w:right="-105" w:rightChars="-50"/>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评分因素权重分值</w:t>
            </w:r>
          </w:p>
        </w:tc>
        <w:tc>
          <w:tcPr>
            <w:tcW w:w="1155" w:type="dxa"/>
          </w:tcPr>
          <w:p w14:paraId="62A32DEF">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各评分因素细分项</w:t>
            </w:r>
          </w:p>
        </w:tc>
        <w:tc>
          <w:tcPr>
            <w:tcW w:w="709" w:type="dxa"/>
            <w:vAlign w:val="center"/>
          </w:tcPr>
          <w:p w14:paraId="79EDE6CB">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Cs w:val="21"/>
              </w:rPr>
            </w:pPr>
            <w:r>
              <w:rPr>
                <w:rFonts w:hint="eastAsia" w:asciiTheme="minorEastAsia" w:hAnsiTheme="minorEastAsia" w:eastAsiaTheme="minorEastAsia" w:cstheme="minorEastAsia"/>
                <w:b/>
                <w:color w:val="auto"/>
                <w:szCs w:val="21"/>
              </w:rPr>
              <w:t>分值</w:t>
            </w:r>
          </w:p>
        </w:tc>
        <w:tc>
          <w:tcPr>
            <w:tcW w:w="5696" w:type="dxa"/>
            <w:vMerge w:val="continue"/>
          </w:tcPr>
          <w:p w14:paraId="50161C89">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Cs w:val="21"/>
              </w:rPr>
            </w:pPr>
          </w:p>
        </w:tc>
      </w:tr>
      <w:tr w14:paraId="4A498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trPr>
        <w:tc>
          <w:tcPr>
            <w:tcW w:w="855" w:type="dxa"/>
            <w:vAlign w:val="center"/>
          </w:tcPr>
          <w:p w14:paraId="5AFD9878">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2.2.4（1）</w:t>
            </w:r>
          </w:p>
        </w:tc>
        <w:tc>
          <w:tcPr>
            <w:tcW w:w="705" w:type="dxa"/>
            <w:vAlign w:val="center"/>
          </w:tcPr>
          <w:p w14:paraId="6E9AB44A">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业绩</w:t>
            </w:r>
          </w:p>
        </w:tc>
        <w:tc>
          <w:tcPr>
            <w:tcW w:w="990" w:type="dxa"/>
            <w:vAlign w:val="center"/>
          </w:tcPr>
          <w:p w14:paraId="11AA1B4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cstheme="minorEastAsia"/>
                <w:color w:val="auto"/>
                <w:szCs w:val="21"/>
                <w:highlight w:val="none"/>
                <w:u w:val="none"/>
                <w:lang w:val="en-US" w:eastAsia="zh-CN"/>
              </w:rPr>
              <w:t>6</w:t>
            </w:r>
            <w:r>
              <w:rPr>
                <w:rFonts w:hint="eastAsia" w:asciiTheme="minorEastAsia" w:hAnsiTheme="minorEastAsia" w:eastAsiaTheme="minorEastAsia" w:cstheme="minorEastAsia"/>
                <w:color w:val="auto"/>
                <w:szCs w:val="21"/>
                <w:highlight w:val="none"/>
              </w:rPr>
              <w:t>分</w:t>
            </w:r>
          </w:p>
        </w:tc>
        <w:tc>
          <w:tcPr>
            <w:tcW w:w="1155" w:type="dxa"/>
            <w:vAlign w:val="center"/>
          </w:tcPr>
          <w:p w14:paraId="0ED355CB">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业绩</w:t>
            </w:r>
          </w:p>
        </w:tc>
        <w:tc>
          <w:tcPr>
            <w:tcW w:w="709" w:type="dxa"/>
            <w:vAlign w:val="center"/>
          </w:tcPr>
          <w:p w14:paraId="3B6424BA">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cstheme="minorEastAsia"/>
                <w:color w:val="auto"/>
                <w:lang w:val="en-US" w:eastAsia="zh-CN"/>
              </w:rPr>
              <w:t>6</w:t>
            </w:r>
            <w:r>
              <w:rPr>
                <w:rFonts w:hint="eastAsia" w:asciiTheme="minorEastAsia" w:hAnsiTheme="minorEastAsia" w:eastAsiaTheme="minorEastAsia" w:cstheme="minorEastAsia"/>
                <w:color w:val="auto"/>
              </w:rPr>
              <w:t>分</w:t>
            </w:r>
          </w:p>
        </w:tc>
        <w:tc>
          <w:tcPr>
            <w:tcW w:w="5696" w:type="dxa"/>
          </w:tcPr>
          <w:p w14:paraId="70F39057">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 xml:space="preserve">满足资格审查条件要求，得基本分 </w:t>
            </w:r>
            <w:r>
              <w:rPr>
                <w:rFonts w:hint="eastAsia" w:asciiTheme="minorEastAsia" w:hAnsiTheme="minorEastAsia" w:cstheme="minorEastAsia"/>
                <w:color w:val="auto"/>
                <w:sz w:val="22"/>
                <w:szCs w:val="22"/>
                <w:highlight w:val="none"/>
                <w:lang w:val="en-US" w:eastAsia="zh-CN"/>
              </w:rPr>
              <w:t>3</w:t>
            </w:r>
            <w:r>
              <w:rPr>
                <w:rFonts w:hint="eastAsia" w:asciiTheme="minorEastAsia" w:hAnsiTheme="minorEastAsia" w:eastAsiaTheme="minorEastAsia" w:cstheme="minorEastAsia"/>
                <w:color w:val="auto"/>
                <w:sz w:val="22"/>
                <w:szCs w:val="22"/>
                <w:highlight w:val="none"/>
              </w:rPr>
              <w:t>分。</w:t>
            </w:r>
          </w:p>
          <w:p w14:paraId="0A886EED">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22"/>
                <w:szCs w:val="22"/>
                <w:highlight w:val="none"/>
                <w:lang w:val="en-US" w:eastAsia="zh-CN"/>
              </w:rPr>
            </w:pPr>
            <w:r>
              <w:rPr>
                <w:rFonts w:hint="eastAsia" w:asciiTheme="minorEastAsia" w:hAnsiTheme="minorEastAsia" w:eastAsiaTheme="minorEastAsia" w:cstheme="minorEastAsia"/>
                <w:color w:val="auto"/>
                <w:sz w:val="22"/>
                <w:szCs w:val="22"/>
                <w:highlight w:val="none"/>
              </w:rPr>
              <w:t>近</w:t>
            </w:r>
            <w:r>
              <w:rPr>
                <w:rFonts w:hint="eastAsia" w:asciiTheme="minorEastAsia" w:hAnsiTheme="minorEastAsia" w:eastAsiaTheme="minorEastAsia" w:cstheme="minorEastAsia"/>
                <w:color w:val="auto"/>
                <w:sz w:val="22"/>
                <w:szCs w:val="22"/>
                <w:highlight w:val="none"/>
                <w:lang w:val="en-US" w:eastAsia="zh-CN"/>
              </w:rPr>
              <w:t>3</w:t>
            </w:r>
            <w:r>
              <w:rPr>
                <w:rFonts w:hint="eastAsia" w:asciiTheme="minorEastAsia" w:hAnsiTheme="minorEastAsia" w:eastAsiaTheme="minorEastAsia" w:cstheme="minorEastAsia"/>
                <w:color w:val="auto"/>
                <w:sz w:val="22"/>
                <w:szCs w:val="22"/>
                <w:highlight w:val="none"/>
              </w:rPr>
              <w:t>年（20</w:t>
            </w:r>
            <w:r>
              <w:rPr>
                <w:rFonts w:hint="eastAsia" w:asciiTheme="minorEastAsia" w:hAnsiTheme="minorEastAsia" w:eastAsiaTheme="minorEastAsia" w:cstheme="minorEastAsia"/>
                <w:color w:val="auto"/>
                <w:sz w:val="22"/>
                <w:szCs w:val="22"/>
                <w:highlight w:val="none"/>
                <w:lang w:val="en-US" w:eastAsia="zh-CN"/>
              </w:rPr>
              <w:t>21</w:t>
            </w:r>
            <w:r>
              <w:rPr>
                <w:rFonts w:hint="eastAsia" w:asciiTheme="minorEastAsia" w:hAnsiTheme="minorEastAsia" w:eastAsiaTheme="minorEastAsia" w:cstheme="minorEastAsia"/>
                <w:color w:val="auto"/>
                <w:sz w:val="22"/>
                <w:szCs w:val="22"/>
                <w:highlight w:val="none"/>
              </w:rPr>
              <w:t>年</w:t>
            </w:r>
            <w:r>
              <w:rPr>
                <w:rFonts w:hint="eastAsia" w:asciiTheme="minorEastAsia" w:hAnsiTheme="minorEastAsia" w:cstheme="minorEastAsia"/>
                <w:color w:val="auto"/>
                <w:sz w:val="22"/>
                <w:szCs w:val="22"/>
                <w:highlight w:val="none"/>
                <w:lang w:val="en-US" w:eastAsia="zh-CN"/>
              </w:rPr>
              <w:t>1</w:t>
            </w:r>
            <w:r>
              <w:rPr>
                <w:rFonts w:hint="eastAsia" w:asciiTheme="minorEastAsia" w:hAnsiTheme="minorEastAsia" w:eastAsiaTheme="minorEastAsia" w:cstheme="minorEastAsia"/>
                <w:color w:val="auto"/>
                <w:sz w:val="22"/>
                <w:szCs w:val="22"/>
                <w:highlight w:val="none"/>
              </w:rPr>
              <w:t>月1日</w:t>
            </w:r>
            <w:r>
              <w:rPr>
                <w:rFonts w:hint="eastAsia" w:asciiTheme="minorEastAsia" w:hAnsiTheme="minorEastAsia" w:eastAsiaTheme="minorEastAsia" w:cstheme="minorEastAsia"/>
                <w:color w:val="auto"/>
                <w:sz w:val="22"/>
                <w:szCs w:val="22"/>
                <w:highlight w:val="none"/>
                <w:lang w:val="en-US" w:eastAsia="zh-CN"/>
              </w:rPr>
              <w:t>至</w:t>
            </w:r>
            <w:r>
              <w:rPr>
                <w:rFonts w:hint="eastAsia" w:asciiTheme="minorEastAsia" w:hAnsiTheme="minorEastAsia" w:eastAsiaTheme="minorEastAsia" w:cstheme="minorEastAsia"/>
                <w:color w:val="auto"/>
                <w:sz w:val="22"/>
                <w:szCs w:val="22"/>
                <w:highlight w:val="none"/>
              </w:rPr>
              <w:t>响应文件递交截止日期）每增加</w:t>
            </w:r>
            <w:r>
              <w:rPr>
                <w:rFonts w:hint="eastAsia" w:asciiTheme="minorEastAsia" w:hAnsiTheme="minorEastAsia" w:eastAsiaTheme="minorEastAsia" w:cstheme="minorEastAsia"/>
                <w:color w:val="auto"/>
                <w:sz w:val="22"/>
                <w:szCs w:val="22"/>
                <w:highlight w:val="none"/>
                <w:lang w:val="en-US" w:eastAsia="zh-CN"/>
              </w:rPr>
              <w:t>独立完成过1个</w:t>
            </w:r>
            <w:r>
              <w:rPr>
                <w:rFonts w:hint="eastAsia" w:asciiTheme="minorEastAsia" w:hAnsiTheme="minorEastAsia" w:eastAsiaTheme="minorEastAsia" w:cstheme="minorEastAsia"/>
                <w:color w:val="auto"/>
                <w:sz w:val="22"/>
                <w:szCs w:val="22"/>
                <w:highlight w:val="none"/>
              </w:rPr>
              <w:t>单项合同</w:t>
            </w:r>
            <w:r>
              <w:rPr>
                <w:rFonts w:hint="eastAsia" w:asciiTheme="minorEastAsia" w:hAnsiTheme="minorEastAsia" w:eastAsiaTheme="minorEastAsia" w:cstheme="minorEastAsia"/>
                <w:color w:val="auto"/>
                <w:sz w:val="22"/>
                <w:szCs w:val="22"/>
                <w:highlight w:val="none"/>
                <w:lang w:val="en-US" w:eastAsia="zh-CN"/>
              </w:rPr>
              <w:t>价50</w:t>
            </w:r>
            <w:r>
              <w:rPr>
                <w:rFonts w:hint="eastAsia" w:asciiTheme="minorEastAsia" w:hAnsiTheme="minorEastAsia" w:eastAsiaTheme="minorEastAsia" w:cstheme="minorEastAsia"/>
                <w:color w:val="auto"/>
                <w:sz w:val="22"/>
                <w:szCs w:val="22"/>
                <w:highlight w:val="none"/>
              </w:rPr>
              <w:t>万元</w:t>
            </w:r>
            <w:r>
              <w:rPr>
                <w:rFonts w:hint="eastAsia" w:asciiTheme="minorEastAsia" w:hAnsiTheme="minorEastAsia" w:eastAsiaTheme="minorEastAsia" w:cstheme="minorEastAsia"/>
                <w:color w:val="auto"/>
                <w:sz w:val="22"/>
                <w:szCs w:val="22"/>
                <w:highlight w:val="none"/>
                <w:lang w:val="en-US" w:eastAsia="zh-CN"/>
              </w:rPr>
              <w:t>及</w:t>
            </w:r>
            <w:r>
              <w:rPr>
                <w:rFonts w:hint="eastAsia" w:asciiTheme="minorEastAsia" w:hAnsiTheme="minorEastAsia" w:eastAsiaTheme="minorEastAsia" w:cstheme="minorEastAsia"/>
                <w:color w:val="auto"/>
                <w:sz w:val="22"/>
                <w:szCs w:val="22"/>
                <w:highlight w:val="none"/>
              </w:rPr>
              <w:t>以上的办公</w:t>
            </w:r>
            <w:r>
              <w:rPr>
                <w:rFonts w:hint="eastAsia" w:asciiTheme="minorEastAsia" w:hAnsiTheme="minorEastAsia" w:eastAsiaTheme="minorEastAsia" w:cstheme="minorEastAsia"/>
                <w:color w:val="auto"/>
                <w:sz w:val="22"/>
                <w:szCs w:val="22"/>
                <w:highlight w:val="none"/>
                <w:lang w:val="en-US" w:eastAsia="zh-CN"/>
              </w:rPr>
              <w:t>家具</w:t>
            </w:r>
            <w:r>
              <w:rPr>
                <w:rFonts w:hint="eastAsia" w:asciiTheme="minorEastAsia" w:hAnsiTheme="minorEastAsia" w:eastAsiaTheme="minorEastAsia" w:cstheme="minorEastAsia"/>
                <w:color w:val="auto"/>
                <w:sz w:val="22"/>
                <w:szCs w:val="22"/>
                <w:highlight w:val="none"/>
              </w:rPr>
              <w:t>供货业绩</w:t>
            </w:r>
            <w:r>
              <w:rPr>
                <w:rFonts w:hint="eastAsia" w:asciiTheme="minorEastAsia" w:hAnsiTheme="minorEastAsia" w:eastAsiaTheme="minorEastAsia" w:cstheme="minorEastAsia"/>
                <w:color w:val="auto"/>
                <w:sz w:val="22"/>
                <w:szCs w:val="22"/>
                <w:highlight w:val="none"/>
                <w:lang w:val="en-US" w:eastAsia="zh-CN"/>
              </w:rPr>
              <w:t>的加1分，加满3分为止。</w:t>
            </w:r>
          </w:p>
          <w:p w14:paraId="3EE83FF2">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bCs/>
                <w:color w:val="auto"/>
                <w:kern w:val="0"/>
                <w:sz w:val="21"/>
                <w:szCs w:val="21"/>
                <w:lang w:val="en-US" w:eastAsia="zh-CN" w:bidi="ar"/>
              </w:rPr>
              <w:t>注：业绩证明材料：</w:t>
            </w:r>
          </w:p>
          <w:p w14:paraId="51BB3EB0">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bCs/>
                <w:color w:val="auto"/>
                <w:kern w:val="0"/>
                <w:sz w:val="21"/>
                <w:szCs w:val="21"/>
                <w:lang w:val="en-US" w:eastAsia="zh-CN" w:bidi="ar"/>
              </w:rPr>
              <w:t>（1）合同；</w:t>
            </w:r>
          </w:p>
          <w:p w14:paraId="6B8D040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b/>
                <w:bCs/>
                <w:color w:val="auto"/>
                <w:kern w:val="0"/>
                <w:sz w:val="21"/>
                <w:szCs w:val="21"/>
                <w:lang w:val="en-US" w:eastAsia="zh-CN" w:bidi="ar"/>
              </w:rPr>
              <w:t xml:space="preserve">（2）供货完毕并验收合格的相关证明文件（如验收证书或买方盖章的有效证明材料等）。 </w:t>
            </w:r>
          </w:p>
        </w:tc>
      </w:tr>
      <w:tr w14:paraId="451D4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855" w:type="dxa"/>
            <w:vMerge w:val="restart"/>
            <w:vAlign w:val="center"/>
          </w:tcPr>
          <w:p w14:paraId="6DF6E91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2.2.4（2）</w:t>
            </w:r>
          </w:p>
        </w:tc>
        <w:tc>
          <w:tcPr>
            <w:tcW w:w="705" w:type="dxa"/>
            <w:vMerge w:val="restart"/>
            <w:vAlign w:val="center"/>
          </w:tcPr>
          <w:p w14:paraId="559A5E63">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技术性能</w:t>
            </w:r>
          </w:p>
        </w:tc>
        <w:tc>
          <w:tcPr>
            <w:tcW w:w="990" w:type="dxa"/>
            <w:vMerge w:val="restart"/>
            <w:vAlign w:val="center"/>
          </w:tcPr>
          <w:p w14:paraId="6FB47E04">
            <w:pPr>
              <w:pageBreakBefore w:val="0"/>
              <w:kinsoku/>
              <w:wordWrap/>
              <w:overflowPunct/>
              <w:topLinePunct w:val="0"/>
              <w:autoSpaceDE/>
              <w:autoSpaceDN/>
              <w:bidi w:val="0"/>
              <w:spacing w:line="240" w:lineRule="auto"/>
              <w:ind w:firstLine="210" w:firstLineChars="100"/>
              <w:jc w:val="both"/>
              <w:outlineLvl w:val="9"/>
              <w:rPr>
                <w:rFonts w:hint="eastAsia" w:asciiTheme="minorEastAsia" w:hAnsiTheme="minorEastAsia" w:eastAsiaTheme="minorEastAsia" w:cstheme="minorEastAsia"/>
                <w:color w:val="auto"/>
                <w:szCs w:val="21"/>
                <w:u w:val="none"/>
              </w:rPr>
            </w:pPr>
            <w:r>
              <w:rPr>
                <w:rFonts w:hint="eastAsia" w:asciiTheme="minorEastAsia" w:hAnsiTheme="minorEastAsia" w:cstheme="minorEastAsia"/>
                <w:color w:val="auto"/>
                <w:szCs w:val="21"/>
                <w:u w:val="none"/>
                <w:lang w:val="en-US" w:eastAsia="zh-CN"/>
              </w:rPr>
              <w:t>24</w:t>
            </w:r>
            <w:r>
              <w:rPr>
                <w:rFonts w:hint="eastAsia" w:asciiTheme="minorEastAsia" w:hAnsiTheme="minorEastAsia" w:eastAsiaTheme="minorEastAsia" w:cstheme="minorEastAsia"/>
                <w:color w:val="auto"/>
                <w:szCs w:val="21"/>
                <w:u w:val="none"/>
              </w:rPr>
              <w:t>分</w:t>
            </w:r>
          </w:p>
        </w:tc>
        <w:tc>
          <w:tcPr>
            <w:tcW w:w="1155" w:type="dxa"/>
          </w:tcPr>
          <w:p w14:paraId="07E3EAA9">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43263EC9">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4D8B09DB">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6122A633">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0D773E5B">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63FAD3F9">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2C6DCB47">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78EB83E9">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6BBE9A78">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7B7C97F8">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29D556F8">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5C218C14">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713DBF6C">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p>
          <w:p w14:paraId="2D21CF98">
            <w:pPr>
              <w:pageBreakBefore w:val="0"/>
              <w:tabs>
                <w:tab w:val="left" w:pos="945"/>
                <w:tab w:val="left" w:pos="1050"/>
              </w:tabs>
              <w:kinsoku/>
              <w:wordWrap/>
              <w:overflowPunct/>
              <w:topLinePunct w:val="0"/>
              <w:autoSpaceDE/>
              <w:autoSpaceDN/>
              <w:bidi w:val="0"/>
              <w:spacing w:line="240" w:lineRule="auto"/>
              <w:outlineLvl w:val="9"/>
              <w:rPr>
                <w:rFonts w:hint="eastAsia" w:asciiTheme="minorEastAsia" w:hAnsiTheme="minorEastAsia" w:eastAsiaTheme="minorEastAsia" w:cstheme="minorEastAsia"/>
                <w:color w:val="auto"/>
                <w:szCs w:val="21"/>
                <w:u w:val="none"/>
              </w:rPr>
            </w:pPr>
            <w:r>
              <w:rPr>
                <w:rFonts w:hint="eastAsia" w:asciiTheme="minorEastAsia" w:hAnsiTheme="minorEastAsia" w:eastAsiaTheme="minorEastAsia" w:cstheme="minorEastAsia"/>
                <w:color w:val="auto"/>
                <w:szCs w:val="21"/>
                <w:u w:val="none"/>
                <w:lang w:val="en-US" w:eastAsia="zh-CN"/>
              </w:rPr>
              <w:t>生产设备、</w:t>
            </w:r>
            <w:r>
              <w:rPr>
                <w:rFonts w:hint="eastAsia" w:asciiTheme="minorEastAsia" w:hAnsiTheme="minorEastAsia" w:eastAsiaTheme="minorEastAsia" w:cstheme="minorEastAsia"/>
                <w:color w:val="auto"/>
                <w:szCs w:val="21"/>
                <w:u w:val="none"/>
              </w:rPr>
              <w:t>检测报告</w:t>
            </w:r>
          </w:p>
        </w:tc>
        <w:tc>
          <w:tcPr>
            <w:tcW w:w="709" w:type="dxa"/>
            <w:vAlign w:val="center"/>
          </w:tcPr>
          <w:p w14:paraId="28B148E6">
            <w:pPr>
              <w:pageBreakBefore w:val="0"/>
              <w:tabs>
                <w:tab w:val="left" w:pos="945"/>
                <w:tab w:val="left" w:pos="1050"/>
              </w:tabs>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u w:val="none"/>
              </w:rPr>
            </w:pPr>
            <w:r>
              <w:rPr>
                <w:rFonts w:hint="eastAsia" w:asciiTheme="minorEastAsia" w:hAnsiTheme="minorEastAsia" w:cstheme="minorEastAsia"/>
                <w:color w:val="auto"/>
                <w:szCs w:val="21"/>
                <w:u w:val="none"/>
                <w:lang w:val="en-US" w:eastAsia="zh-CN"/>
              </w:rPr>
              <w:t>18</w:t>
            </w:r>
            <w:r>
              <w:rPr>
                <w:rFonts w:hint="eastAsia" w:asciiTheme="minorEastAsia" w:hAnsiTheme="minorEastAsia" w:eastAsiaTheme="minorEastAsia" w:cstheme="minorEastAsia"/>
                <w:color w:val="auto"/>
                <w:szCs w:val="21"/>
                <w:u w:val="none"/>
              </w:rPr>
              <w:t>分</w:t>
            </w:r>
          </w:p>
        </w:tc>
        <w:tc>
          <w:tcPr>
            <w:tcW w:w="5696" w:type="dxa"/>
          </w:tcPr>
          <w:p w14:paraId="3C3DA6DD">
            <w:pPr>
              <w:tabs>
                <w:tab w:val="left" w:pos="945"/>
                <w:tab w:val="left" w:pos="1050"/>
              </w:tabs>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供应商</w:t>
            </w:r>
            <w:r>
              <w:rPr>
                <w:rFonts w:hint="eastAsia" w:asciiTheme="minorEastAsia" w:hAnsiTheme="minorEastAsia" w:eastAsiaTheme="minorEastAsia" w:cstheme="minorEastAsia"/>
                <w:szCs w:val="21"/>
              </w:rPr>
              <w:t>提供自202</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月以来</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以检测报告签发日期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原材料的合格抽样检测报告，检测报告须具有“CNAS”和“CMA”等标志；受检单位须为授权生产厂家；检测报告出具单位须为省级及以上质量监督检验机构。</w:t>
            </w:r>
          </w:p>
          <w:p w14:paraId="6A30425F">
            <w:pP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①、</w:t>
            </w:r>
            <w:r>
              <w:rPr>
                <w:rFonts w:hint="eastAsia" w:asciiTheme="minorEastAsia" w:hAnsiTheme="minorEastAsia" w:eastAsiaTheme="minorEastAsia" w:cstheme="minorEastAsia"/>
                <w:szCs w:val="21"/>
                <w:lang w:val="en-US" w:eastAsia="zh-CN"/>
              </w:rPr>
              <w:t>木皮（天然木皮）</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lang w:val="en-US" w:eastAsia="zh-CN"/>
              </w:rPr>
              <w:t>抽样基数不少于50张，厚度不低于0.8mm，</w:t>
            </w:r>
            <w:r>
              <w:rPr>
                <w:rFonts w:hint="eastAsia" w:asciiTheme="minorEastAsia" w:hAnsiTheme="minorEastAsia" w:eastAsiaTheme="minorEastAsia" w:cstheme="minorEastAsia"/>
                <w:szCs w:val="21"/>
                <w:lang w:val="en-US" w:eastAsia="zh-CN"/>
              </w:rPr>
              <w:t>要求甲醛释放量未检出；达到GB/T13010-2020第5.4条要求。</w:t>
            </w:r>
          </w:p>
          <w:p w14:paraId="05068472">
            <w:pPr>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②、</w:t>
            </w:r>
            <w:r>
              <w:rPr>
                <w:rFonts w:hint="eastAsia" w:asciiTheme="minorEastAsia" w:hAnsiTheme="minorEastAsia" w:eastAsiaTheme="minorEastAsia" w:cstheme="minorEastAsia"/>
                <w:szCs w:val="21"/>
                <w:lang w:val="en-US" w:eastAsia="zh-CN"/>
              </w:rPr>
              <w:t>三聚氰胺板</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lang w:val="en-US" w:eastAsia="zh-CN"/>
              </w:rPr>
              <w:t>抽样基数不少于40张，要求</w:t>
            </w:r>
            <w:r>
              <w:rPr>
                <w:rFonts w:hint="eastAsia" w:asciiTheme="minorEastAsia" w:hAnsiTheme="minorEastAsia" w:eastAsiaTheme="minorEastAsia" w:cstheme="minorEastAsia"/>
                <w:szCs w:val="21"/>
                <w:lang w:val="en-US" w:eastAsia="zh-CN"/>
              </w:rPr>
              <w:t>静曲</w:t>
            </w:r>
            <w:r>
              <w:rPr>
                <w:rFonts w:hint="eastAsia" w:asciiTheme="minorEastAsia" w:hAnsiTheme="minorEastAsia" w:eastAsiaTheme="minorEastAsia" w:cstheme="minorEastAsia"/>
                <w:szCs w:val="21"/>
              </w:rPr>
              <w:t>强度≥</w:t>
            </w:r>
            <w:r>
              <w:rPr>
                <w:rFonts w:hint="eastAsia" w:asciiTheme="minorEastAsia" w:hAnsiTheme="minorEastAsia" w:eastAsiaTheme="minorEastAsia" w:cstheme="minorEastAsia"/>
                <w:szCs w:val="21"/>
                <w:lang w:val="en-US" w:eastAsia="zh-CN"/>
              </w:rPr>
              <w:t>26mpa</w:t>
            </w:r>
            <w:r>
              <w:rPr>
                <w:rFonts w:hint="eastAsia" w:asciiTheme="minorEastAsia" w:hAnsiTheme="minorEastAsia" w:eastAsiaTheme="minorEastAsia" w:cstheme="minorEastAsia"/>
                <w:szCs w:val="21"/>
              </w:rPr>
              <w:t>；表面</w:t>
            </w:r>
            <w:r>
              <w:rPr>
                <w:rFonts w:hint="eastAsia" w:asciiTheme="minorEastAsia" w:hAnsiTheme="minorEastAsia" w:eastAsiaTheme="minorEastAsia" w:cstheme="minorEastAsia"/>
                <w:szCs w:val="21"/>
                <w:lang w:val="en-US" w:eastAsia="zh-CN"/>
              </w:rPr>
              <w:t>胶合强度≥1.5mpa</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防霉菌性能等级为0级；表面耐香烟灼烧5级；</w:t>
            </w:r>
            <w:r>
              <w:rPr>
                <w:rFonts w:hint="eastAsia" w:asciiTheme="minorEastAsia" w:hAnsiTheme="minorEastAsia" w:eastAsiaTheme="minorEastAsia" w:cstheme="minorEastAsia"/>
                <w:szCs w:val="21"/>
              </w:rPr>
              <w:t>甲醛释放量</w:t>
            </w:r>
            <w:r>
              <w:rPr>
                <w:rFonts w:hint="eastAsia" w:asciiTheme="minorEastAsia" w:hAnsiTheme="minorEastAsia" w:eastAsiaTheme="minorEastAsia" w:cstheme="minorEastAsia"/>
                <w:szCs w:val="21"/>
                <w:lang w:val="en-US" w:eastAsia="zh-CN"/>
              </w:rPr>
              <w:t>未检出。</w:t>
            </w:r>
          </w:p>
          <w:p w14:paraId="5F6FBB88">
            <w:pP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szCs w:val="21"/>
              </w:rPr>
              <w:t>③、</w:t>
            </w:r>
            <w:r>
              <w:rPr>
                <w:rFonts w:hint="eastAsia" w:asciiTheme="minorEastAsia" w:hAnsiTheme="minorEastAsia" w:eastAsiaTheme="minorEastAsia" w:cstheme="minorEastAsia"/>
                <w:lang w:val="en-US" w:eastAsia="zh-CN"/>
              </w:rPr>
              <w:t>水性油漆：抽样基数不少于20kg，要求硬度（擦伤）不低于B级，游离甲醛含量未检出。</w:t>
            </w:r>
          </w:p>
          <w:p w14:paraId="604559C5">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bCs/>
                <w:szCs w:val="21"/>
              </w:rPr>
              <w:t>原材料检测报告满足1项加</w:t>
            </w:r>
            <w:r>
              <w:rPr>
                <w:rFonts w:hint="eastAsia" w:asciiTheme="minorEastAsia" w:hAnsiTheme="minorEastAsia" w:cstheme="minorEastAsia"/>
                <w:b/>
                <w:bCs/>
                <w:szCs w:val="21"/>
                <w:lang w:val="en-US" w:eastAsia="zh-CN"/>
              </w:rPr>
              <w:t>3</w:t>
            </w:r>
            <w:r>
              <w:rPr>
                <w:rFonts w:hint="eastAsia" w:asciiTheme="minorEastAsia" w:hAnsiTheme="minorEastAsia" w:eastAsiaTheme="minorEastAsia" w:cstheme="minorEastAsia"/>
                <w:b/>
                <w:bCs/>
                <w:szCs w:val="21"/>
              </w:rPr>
              <w:t>分，加满</w:t>
            </w:r>
            <w:r>
              <w:rPr>
                <w:rFonts w:hint="eastAsia" w:asciiTheme="minorEastAsia" w:hAnsiTheme="minorEastAsia" w:cstheme="minorEastAsia"/>
                <w:b/>
                <w:bCs/>
                <w:szCs w:val="21"/>
                <w:lang w:val="en-US" w:eastAsia="zh-CN"/>
              </w:rPr>
              <w:t>9</w:t>
            </w:r>
            <w:r>
              <w:rPr>
                <w:rFonts w:hint="eastAsia" w:asciiTheme="minorEastAsia" w:hAnsiTheme="minorEastAsia" w:eastAsiaTheme="minorEastAsia" w:cstheme="minorEastAsia"/>
                <w:b/>
                <w:bCs/>
                <w:szCs w:val="21"/>
              </w:rPr>
              <w:t>分为止，原件备查。</w:t>
            </w:r>
          </w:p>
          <w:p w14:paraId="55EAE2ED">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2、供应商提供自202</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月份以来</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以检测报告签发日期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成品的合格抽样检测报告（检测报告须具有“CNAS”和“CMA”等标志标志）；受检单位须为授权生产厂家；检测报告出具单位须为省级以上质量监督检验机构。</w:t>
            </w:r>
          </w:p>
          <w:p w14:paraId="202D5007">
            <w:pPr>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①、</w:t>
            </w:r>
            <w:r>
              <w:rPr>
                <w:rFonts w:hint="eastAsia" w:asciiTheme="minorEastAsia" w:hAnsiTheme="minorEastAsia" w:eastAsiaTheme="minorEastAsia" w:cstheme="minorEastAsia"/>
                <w:szCs w:val="21"/>
                <w:lang w:val="en-US" w:eastAsia="zh-CN"/>
              </w:rPr>
              <w:t>会议</w:t>
            </w:r>
            <w:r>
              <w:rPr>
                <w:rFonts w:hint="eastAsia" w:asciiTheme="minorEastAsia" w:hAnsiTheme="minorEastAsia" w:eastAsiaTheme="minorEastAsia" w:cstheme="minorEastAsia"/>
                <w:szCs w:val="21"/>
              </w:rPr>
              <w:t>桌：</w:t>
            </w:r>
            <w:r>
              <w:rPr>
                <w:rFonts w:hint="eastAsia" w:asciiTheme="minorEastAsia" w:hAnsiTheme="minorEastAsia" w:eastAsiaTheme="minorEastAsia" w:cstheme="minorEastAsia"/>
                <w:lang w:val="en-US" w:eastAsia="zh-CN"/>
              </w:rPr>
              <w:t>抽样基数不少于30件，</w:t>
            </w:r>
            <w:r>
              <w:rPr>
                <w:rFonts w:hint="eastAsia" w:asciiTheme="minorEastAsia" w:hAnsiTheme="minorEastAsia" w:eastAsiaTheme="minorEastAsia" w:cstheme="minorEastAsia"/>
                <w:szCs w:val="21"/>
              </w:rPr>
              <w:t>甲醛释放量≤0.02mg/m³；苯、甲苯、二甲苯、总挥发性有机化合物（TVOC）均未检出；可接触的实木部件中五氯苯酚（PCP）未检出</w:t>
            </w:r>
            <w:r>
              <w:rPr>
                <w:rFonts w:hint="eastAsia" w:asciiTheme="minorEastAsia" w:hAnsiTheme="minorEastAsia" w:eastAsiaTheme="minorEastAsia" w:cstheme="minorEastAsia"/>
                <w:szCs w:val="21"/>
                <w:lang w:eastAsia="zh-CN"/>
              </w:rPr>
              <w:t>。</w:t>
            </w:r>
          </w:p>
          <w:p w14:paraId="22ADF6BA">
            <w:pPr>
              <w:widowControl/>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②、会议椅：甲醛释放量≤0.02 mg/㎡h，TVOC≤0.01mg/㎡h；有害物质苯、甲苯、二甲苯未检出；可溶性铅、可溶性镉、可溶性铬、可溶性汞 均检测合格。</w:t>
            </w:r>
          </w:p>
          <w:p w14:paraId="7ED19B4C">
            <w:pPr>
              <w:pStyle w:val="15"/>
              <w:ind w:left="0" w:leftChars="0" w:firstLine="0" w:firstLineChars="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③、</w:t>
            </w:r>
            <w:r>
              <w:rPr>
                <w:rFonts w:hint="eastAsia" w:asciiTheme="minorEastAsia" w:hAnsiTheme="minorEastAsia" w:eastAsiaTheme="minorEastAsia" w:cstheme="minorEastAsia"/>
                <w:szCs w:val="21"/>
                <w:lang w:val="en-US" w:eastAsia="zh-CN"/>
              </w:rPr>
              <w:t>屏风工作位：</w:t>
            </w:r>
            <w:r>
              <w:rPr>
                <w:rFonts w:hint="eastAsia" w:asciiTheme="minorEastAsia" w:hAnsiTheme="minorEastAsia" w:eastAsiaTheme="minorEastAsia" w:cstheme="minorEastAsia"/>
                <w:lang w:val="en-US" w:eastAsia="zh-CN"/>
              </w:rPr>
              <w:t>抽样基数不少于30件，要求</w:t>
            </w:r>
            <w:r>
              <w:rPr>
                <w:rFonts w:hint="eastAsia" w:asciiTheme="minorEastAsia" w:hAnsiTheme="minorEastAsia" w:eastAsiaTheme="minorEastAsia" w:cstheme="minorEastAsia"/>
                <w:szCs w:val="21"/>
                <w:lang w:val="en-US" w:eastAsia="zh-CN"/>
              </w:rPr>
              <w:t xml:space="preserve">桌面水平耐久性6万次，无损；甲醛释放量≤0.02mg/m³；苯、甲苯、二甲苯、总挥发性有机化合物（TVOC）均未检出；要求家具产品及其材料中禁限用物质/阻燃剂未检出。                   </w:t>
            </w:r>
            <w:r>
              <w:rPr>
                <w:rFonts w:hint="eastAsia" w:asciiTheme="minorEastAsia" w:hAnsiTheme="minorEastAsia" w:eastAsiaTheme="minorEastAsia" w:cstheme="minorEastAsia"/>
                <w:kern w:val="2"/>
                <w:sz w:val="21"/>
                <w:szCs w:val="21"/>
                <w:lang w:val="en-US" w:eastAsia="zh-CN" w:bidi="ar-SA"/>
              </w:rPr>
              <w:t xml:space="preserve">   </w:t>
            </w:r>
            <w:r>
              <w:rPr>
                <w:rFonts w:hint="eastAsia" w:asciiTheme="minorEastAsia" w:hAnsiTheme="minorEastAsia" w:eastAsiaTheme="minorEastAsia" w:cstheme="minorEastAsia"/>
                <w:b/>
                <w:bCs/>
                <w:szCs w:val="21"/>
              </w:rPr>
              <w:t>成品检测报告满足1项加</w:t>
            </w:r>
            <w:r>
              <w:rPr>
                <w:rFonts w:hint="eastAsia" w:asciiTheme="minorEastAsia" w:hAnsiTheme="minorEastAsia" w:cstheme="minorEastAsia"/>
                <w:b/>
                <w:bCs/>
                <w:szCs w:val="21"/>
                <w:lang w:val="en-US" w:eastAsia="zh-CN"/>
              </w:rPr>
              <w:t>3</w:t>
            </w:r>
            <w:r>
              <w:rPr>
                <w:rFonts w:hint="eastAsia" w:asciiTheme="minorEastAsia" w:hAnsiTheme="minorEastAsia" w:eastAsiaTheme="minorEastAsia" w:cstheme="minorEastAsia"/>
                <w:b/>
                <w:bCs/>
                <w:szCs w:val="21"/>
              </w:rPr>
              <w:t>分，加满</w:t>
            </w:r>
            <w:r>
              <w:rPr>
                <w:rFonts w:hint="eastAsia" w:asciiTheme="minorEastAsia" w:hAnsiTheme="minorEastAsia" w:cstheme="minorEastAsia"/>
                <w:b/>
                <w:bCs/>
                <w:szCs w:val="21"/>
                <w:lang w:val="en-US" w:eastAsia="zh-CN"/>
              </w:rPr>
              <w:t>9</w:t>
            </w:r>
            <w:r>
              <w:rPr>
                <w:rFonts w:hint="eastAsia" w:asciiTheme="minorEastAsia" w:hAnsiTheme="minorEastAsia" w:eastAsiaTheme="minorEastAsia" w:cstheme="minorEastAsia"/>
                <w:b/>
                <w:bCs/>
                <w:szCs w:val="21"/>
              </w:rPr>
              <w:t>分为止，原件备查。</w:t>
            </w:r>
          </w:p>
        </w:tc>
      </w:tr>
      <w:tr w14:paraId="327BC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5" w:hRule="atLeast"/>
        </w:trPr>
        <w:tc>
          <w:tcPr>
            <w:tcW w:w="855" w:type="dxa"/>
            <w:vMerge w:val="continue"/>
            <w:vAlign w:val="center"/>
          </w:tcPr>
          <w:p w14:paraId="4D6DB1B4">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p>
        </w:tc>
        <w:tc>
          <w:tcPr>
            <w:tcW w:w="705" w:type="dxa"/>
            <w:vMerge w:val="continue"/>
            <w:vAlign w:val="center"/>
          </w:tcPr>
          <w:p w14:paraId="1C2856E7">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p>
        </w:tc>
        <w:tc>
          <w:tcPr>
            <w:tcW w:w="990" w:type="dxa"/>
            <w:vMerge w:val="continue"/>
            <w:vAlign w:val="center"/>
          </w:tcPr>
          <w:p w14:paraId="34B7EAD2">
            <w:pPr>
              <w:pageBreakBefore w:val="0"/>
              <w:kinsoku/>
              <w:wordWrap/>
              <w:overflowPunct/>
              <w:topLinePunct w:val="0"/>
              <w:autoSpaceDE/>
              <w:autoSpaceDN/>
              <w:bidi w:val="0"/>
              <w:spacing w:line="240" w:lineRule="auto"/>
              <w:jc w:val="both"/>
              <w:outlineLvl w:val="9"/>
              <w:rPr>
                <w:rFonts w:hint="eastAsia" w:asciiTheme="minorEastAsia" w:hAnsiTheme="minorEastAsia" w:eastAsiaTheme="minorEastAsia" w:cstheme="minorEastAsia"/>
                <w:color w:val="auto"/>
                <w:szCs w:val="21"/>
                <w:u w:val="none"/>
              </w:rPr>
            </w:pPr>
          </w:p>
        </w:tc>
        <w:tc>
          <w:tcPr>
            <w:tcW w:w="1155" w:type="dxa"/>
            <w:vAlign w:val="center"/>
          </w:tcPr>
          <w:p w14:paraId="5F23B52A">
            <w:pPr>
              <w:keepNext w:val="0"/>
              <w:keepLines w:val="0"/>
              <w:widowControl/>
              <w:suppressLineNumbers w:val="0"/>
              <w:spacing w:line="240" w:lineRule="auto"/>
              <w:jc w:val="left"/>
              <w:rPr>
                <w:rFonts w:hint="eastAsia" w:asciiTheme="minorEastAsia" w:hAnsiTheme="minorEastAsia" w:eastAsiaTheme="minorEastAsia" w:cstheme="minorEastAsia"/>
                <w:color w:val="auto"/>
                <w:u w:val="none"/>
              </w:rPr>
            </w:pPr>
            <w:r>
              <w:rPr>
                <w:rFonts w:hint="eastAsia" w:asciiTheme="minorEastAsia" w:hAnsiTheme="minorEastAsia" w:eastAsiaTheme="minorEastAsia" w:cstheme="minorEastAsia"/>
                <w:color w:val="auto"/>
                <w:kern w:val="0"/>
                <w:sz w:val="21"/>
                <w:szCs w:val="21"/>
                <w:u w:val="none"/>
                <w:lang w:val="en-US" w:eastAsia="zh-CN" w:bidi="ar"/>
              </w:rPr>
              <w:t>供应商环保产品认证证书</w:t>
            </w:r>
          </w:p>
          <w:p w14:paraId="1E5A12E5">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auto"/>
                <w:kern w:val="0"/>
                <w:szCs w:val="21"/>
                <w:u w:val="none"/>
              </w:rPr>
            </w:pPr>
          </w:p>
        </w:tc>
        <w:tc>
          <w:tcPr>
            <w:tcW w:w="709" w:type="dxa"/>
            <w:vAlign w:val="center"/>
          </w:tcPr>
          <w:p w14:paraId="7DE18243">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auto"/>
                <w:kern w:val="0"/>
                <w:szCs w:val="21"/>
                <w:highlight w:val="none"/>
                <w:u w:val="none"/>
                <w:lang w:val="en-US" w:eastAsia="zh-CN"/>
              </w:rPr>
            </w:pPr>
            <w:r>
              <w:rPr>
                <w:rFonts w:hint="eastAsia" w:asciiTheme="minorEastAsia" w:hAnsiTheme="minorEastAsia" w:cstheme="minorEastAsia"/>
                <w:color w:val="auto"/>
                <w:kern w:val="0"/>
                <w:szCs w:val="21"/>
                <w:highlight w:val="none"/>
                <w:u w:val="none"/>
                <w:lang w:val="en-US" w:eastAsia="zh-CN"/>
              </w:rPr>
              <w:t>6</w:t>
            </w:r>
            <w:r>
              <w:rPr>
                <w:rFonts w:hint="eastAsia" w:asciiTheme="minorEastAsia" w:hAnsiTheme="minorEastAsia" w:eastAsiaTheme="minorEastAsia" w:cstheme="minorEastAsia"/>
                <w:color w:val="auto"/>
                <w:kern w:val="0"/>
                <w:szCs w:val="21"/>
                <w:highlight w:val="none"/>
                <w:u w:val="none"/>
                <w:lang w:val="en-US" w:eastAsia="zh-CN"/>
              </w:rPr>
              <w:t>分</w:t>
            </w:r>
          </w:p>
        </w:tc>
        <w:tc>
          <w:tcPr>
            <w:tcW w:w="5696" w:type="dxa"/>
            <w:vAlign w:val="top"/>
          </w:tcPr>
          <w:p w14:paraId="44BAE0F6">
            <w:pPr>
              <w:widowControl/>
              <w:spacing w:line="240" w:lineRule="auto"/>
              <w:jc w:val="left"/>
              <w:rPr>
                <w:rFonts w:hint="eastAsia" w:asciiTheme="minorEastAsia" w:hAnsiTheme="minorEastAsia" w:eastAsiaTheme="minorEastAsia" w:cstheme="minorEastAsia"/>
                <w:kern w:val="0"/>
                <w:szCs w:val="21"/>
              </w:rPr>
            </w:pPr>
          </w:p>
          <w:p w14:paraId="60207375">
            <w:pPr>
              <w:widowControl/>
              <w:spacing w:line="240" w:lineRule="auto"/>
              <w:jc w:val="left"/>
              <w:rPr>
                <w:rFonts w:hint="eastAsia" w:asciiTheme="minorEastAsia" w:hAnsiTheme="minorEastAsia" w:eastAsiaTheme="minorEastAsia" w:cstheme="minorEastAsia"/>
                <w:color w:val="auto"/>
                <w:kern w:val="0"/>
                <w:szCs w:val="21"/>
                <w:highlight w:val="none"/>
                <w:u w:val="none"/>
                <w:lang w:eastAsia="zh-CN"/>
              </w:rPr>
            </w:pPr>
            <w:r>
              <w:rPr>
                <w:rFonts w:hint="eastAsia" w:asciiTheme="minorEastAsia" w:hAnsiTheme="minorEastAsia" w:eastAsiaTheme="minorEastAsia" w:cstheme="minorEastAsia"/>
                <w:kern w:val="0"/>
                <w:szCs w:val="21"/>
              </w:rPr>
              <w:t>3、供应商提供有效期内的质量管理体系认证 ISO9001、职业健康安全管理体系认证 ISO45001、环境管理体系认证证书 ISO14001 的，全部包含得</w:t>
            </w:r>
            <w:r>
              <w:rPr>
                <w:rFonts w:hint="eastAsia" w:asciiTheme="minorEastAsia" w:hAnsiTheme="minorEastAsia" w:eastAsiaTheme="minorEastAsia" w:cstheme="minorEastAsia"/>
                <w:kern w:val="0"/>
                <w:szCs w:val="21"/>
                <w:lang w:val="en-US" w:eastAsia="zh-CN"/>
              </w:rPr>
              <w:t>6</w:t>
            </w:r>
            <w:r>
              <w:rPr>
                <w:rFonts w:hint="eastAsia" w:asciiTheme="minorEastAsia" w:hAnsiTheme="minorEastAsia" w:eastAsiaTheme="minorEastAsia" w:cstheme="minorEastAsia"/>
                <w:kern w:val="0"/>
                <w:szCs w:val="21"/>
              </w:rPr>
              <w:t>分，缺任意一项不得分；</w:t>
            </w:r>
          </w:p>
        </w:tc>
      </w:tr>
      <w:tr w14:paraId="3A34C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3" w:hRule="atLeast"/>
        </w:trPr>
        <w:tc>
          <w:tcPr>
            <w:tcW w:w="855" w:type="dxa"/>
            <w:vAlign w:val="center"/>
          </w:tcPr>
          <w:p w14:paraId="4E74689E">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2.2.4（3）</w:t>
            </w:r>
          </w:p>
        </w:tc>
        <w:tc>
          <w:tcPr>
            <w:tcW w:w="705" w:type="dxa"/>
            <w:vAlign w:val="center"/>
          </w:tcPr>
          <w:p w14:paraId="070B4A1D">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供货方案</w:t>
            </w:r>
          </w:p>
        </w:tc>
        <w:tc>
          <w:tcPr>
            <w:tcW w:w="990" w:type="dxa"/>
            <w:vAlign w:val="center"/>
          </w:tcPr>
          <w:p w14:paraId="76DE3279">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Cs w:val="21"/>
                <w:u w:val="none"/>
              </w:rPr>
            </w:pPr>
            <w:r>
              <w:rPr>
                <w:rFonts w:hint="eastAsia" w:asciiTheme="minorEastAsia" w:hAnsiTheme="minorEastAsia" w:eastAsiaTheme="minorEastAsia" w:cstheme="minorEastAsia"/>
                <w:color w:val="auto"/>
                <w:szCs w:val="21"/>
                <w:u w:val="none"/>
              </w:rPr>
              <w:t>30分</w:t>
            </w:r>
          </w:p>
        </w:tc>
        <w:tc>
          <w:tcPr>
            <w:tcW w:w="1155" w:type="dxa"/>
            <w:vAlign w:val="center"/>
          </w:tcPr>
          <w:p w14:paraId="792EBE67">
            <w:pPr>
              <w:pStyle w:val="15"/>
              <w:pageBreakBefore w:val="0"/>
              <w:kinsoku/>
              <w:wordWrap/>
              <w:overflowPunct/>
              <w:topLinePunct w:val="0"/>
              <w:autoSpaceDE/>
              <w:autoSpaceDN/>
              <w:bidi w:val="0"/>
              <w:spacing w:line="240" w:lineRule="auto"/>
              <w:ind w:left="0" w:leftChars="0" w:firstLine="0" w:firstLineChars="0"/>
              <w:jc w:val="both"/>
              <w:outlineLvl w:val="9"/>
              <w:rPr>
                <w:rFonts w:hint="eastAsia" w:asciiTheme="minorEastAsia" w:hAnsiTheme="minorEastAsia" w:eastAsiaTheme="minorEastAsia" w:cstheme="minorEastAsia"/>
                <w:color w:val="auto"/>
                <w:kern w:val="0"/>
                <w:szCs w:val="21"/>
                <w:u w:val="none"/>
              </w:rPr>
            </w:pPr>
            <w:r>
              <w:rPr>
                <w:rFonts w:hint="eastAsia" w:asciiTheme="minorEastAsia" w:hAnsiTheme="minorEastAsia" w:eastAsiaTheme="minorEastAsia" w:cstheme="minorEastAsia"/>
                <w:color w:val="auto"/>
                <w:kern w:val="0"/>
                <w:szCs w:val="21"/>
                <w:u w:val="none"/>
              </w:rPr>
              <w:t>设计方案、售后服务</w:t>
            </w:r>
          </w:p>
        </w:tc>
        <w:tc>
          <w:tcPr>
            <w:tcW w:w="709" w:type="dxa"/>
            <w:vAlign w:val="center"/>
          </w:tcPr>
          <w:p w14:paraId="105980FE">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eastAsiaTheme="minorEastAsia" w:cstheme="minorEastAsia"/>
                <w:color w:val="auto"/>
                <w:kern w:val="0"/>
                <w:szCs w:val="21"/>
                <w:highlight w:val="none"/>
                <w:u w:val="none"/>
              </w:rPr>
            </w:pPr>
            <w:r>
              <w:rPr>
                <w:rFonts w:hint="eastAsia" w:asciiTheme="minorEastAsia" w:hAnsiTheme="minorEastAsia" w:eastAsiaTheme="minorEastAsia" w:cstheme="minorEastAsia"/>
                <w:color w:val="auto"/>
                <w:kern w:val="0"/>
                <w:szCs w:val="21"/>
                <w:highlight w:val="none"/>
                <w:u w:val="none"/>
                <w:lang w:eastAsia="zh-CN"/>
              </w:rPr>
              <w:t>30</w:t>
            </w:r>
            <w:r>
              <w:rPr>
                <w:rFonts w:hint="eastAsia" w:asciiTheme="minorEastAsia" w:hAnsiTheme="minorEastAsia" w:eastAsiaTheme="minorEastAsia" w:cstheme="minorEastAsia"/>
                <w:color w:val="auto"/>
                <w:kern w:val="0"/>
                <w:szCs w:val="21"/>
                <w:highlight w:val="none"/>
                <w:u w:val="none"/>
              </w:rPr>
              <w:t>分</w:t>
            </w:r>
          </w:p>
        </w:tc>
        <w:tc>
          <w:tcPr>
            <w:tcW w:w="5696" w:type="dxa"/>
          </w:tcPr>
          <w:p w14:paraId="2E4DC619">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auto"/>
                <w:kern w:val="0"/>
                <w:szCs w:val="21"/>
                <w:highlight w:val="none"/>
                <w:u w:val="none"/>
                <w:lang w:eastAsia="zh-CN"/>
              </w:rPr>
            </w:pPr>
          </w:p>
          <w:p w14:paraId="1641E0FF">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auto"/>
                <w:kern w:val="0"/>
                <w:szCs w:val="21"/>
                <w:highlight w:val="none"/>
                <w:u w:val="none"/>
                <w:lang w:eastAsia="zh-CN"/>
              </w:rPr>
            </w:pPr>
            <w:r>
              <w:rPr>
                <w:rFonts w:hint="eastAsia" w:asciiTheme="minorEastAsia" w:hAnsiTheme="minorEastAsia" w:eastAsiaTheme="minorEastAsia" w:cstheme="minorEastAsia"/>
                <w:color w:val="auto"/>
                <w:kern w:val="0"/>
                <w:szCs w:val="21"/>
                <w:highlight w:val="none"/>
                <w:u w:val="none"/>
                <w:lang w:eastAsia="zh-CN"/>
              </w:rPr>
              <w:t>1、</w:t>
            </w:r>
            <w:r>
              <w:rPr>
                <w:rFonts w:hint="eastAsia" w:asciiTheme="minorEastAsia" w:hAnsiTheme="minorEastAsia" w:eastAsiaTheme="minorEastAsia" w:cstheme="minorEastAsia"/>
                <w:color w:val="auto"/>
                <w:kern w:val="0"/>
                <w:szCs w:val="21"/>
                <w:highlight w:val="none"/>
                <w:u w:val="none"/>
                <w:lang w:val="en-US" w:eastAsia="zh-CN"/>
              </w:rPr>
              <w:t>供应商</w:t>
            </w:r>
            <w:r>
              <w:rPr>
                <w:rFonts w:hint="eastAsia" w:asciiTheme="minorEastAsia" w:hAnsiTheme="minorEastAsia" w:eastAsiaTheme="minorEastAsia" w:cstheme="minorEastAsia"/>
                <w:color w:val="auto"/>
                <w:kern w:val="0"/>
                <w:szCs w:val="21"/>
                <w:highlight w:val="none"/>
                <w:u w:val="none"/>
              </w:rPr>
              <w:t>可自行勘察测量现场，根据现场实际装修情况，以及采购需求产品的外观进行设计，</w:t>
            </w:r>
            <w:r>
              <w:rPr>
                <w:rFonts w:hint="eastAsia" w:asciiTheme="minorEastAsia" w:hAnsiTheme="minorEastAsia" w:eastAsiaTheme="minorEastAsia" w:cstheme="minorEastAsia"/>
                <w:sz w:val="21"/>
                <w:szCs w:val="21"/>
              </w:rPr>
              <w:t>包括但不限于以下内容：平面设计图、效果图等</w:t>
            </w:r>
            <w:r>
              <w:rPr>
                <w:rFonts w:hint="eastAsia" w:asciiTheme="minorEastAsia" w:hAnsiTheme="minorEastAsia" w:eastAsiaTheme="minorEastAsia" w:cstheme="minorEastAsia"/>
                <w:color w:val="auto"/>
                <w:kern w:val="0"/>
                <w:szCs w:val="21"/>
                <w:highlight w:val="none"/>
                <w:u w:val="none"/>
              </w:rPr>
              <w:t>，设计优秀得</w:t>
            </w:r>
            <w:r>
              <w:rPr>
                <w:rFonts w:hint="eastAsia" w:asciiTheme="minorEastAsia" w:hAnsiTheme="minorEastAsia" w:eastAsiaTheme="minorEastAsia" w:cstheme="minorEastAsia"/>
                <w:color w:val="auto"/>
                <w:kern w:val="0"/>
                <w:szCs w:val="21"/>
                <w:highlight w:val="none"/>
                <w:u w:val="none"/>
                <w:lang w:val="en-US" w:eastAsia="zh-CN"/>
              </w:rPr>
              <w:t>10-15</w:t>
            </w:r>
            <w:r>
              <w:rPr>
                <w:rFonts w:hint="eastAsia" w:asciiTheme="minorEastAsia" w:hAnsiTheme="minorEastAsia" w:eastAsiaTheme="minorEastAsia" w:cstheme="minorEastAsia"/>
                <w:color w:val="auto"/>
                <w:kern w:val="0"/>
                <w:szCs w:val="21"/>
                <w:highlight w:val="none"/>
                <w:u w:val="none"/>
              </w:rPr>
              <w:t>分；较好得</w:t>
            </w:r>
            <w:r>
              <w:rPr>
                <w:rFonts w:hint="eastAsia" w:asciiTheme="minorEastAsia" w:hAnsiTheme="minorEastAsia" w:eastAsiaTheme="minorEastAsia" w:cstheme="minorEastAsia"/>
                <w:color w:val="auto"/>
                <w:kern w:val="0"/>
                <w:szCs w:val="21"/>
                <w:highlight w:val="none"/>
                <w:u w:val="none"/>
                <w:lang w:val="en-US" w:eastAsia="zh-CN"/>
              </w:rPr>
              <w:t>5-9</w:t>
            </w:r>
            <w:r>
              <w:rPr>
                <w:rFonts w:hint="eastAsia" w:asciiTheme="minorEastAsia" w:hAnsiTheme="minorEastAsia" w:eastAsiaTheme="minorEastAsia" w:cstheme="minorEastAsia"/>
                <w:color w:val="auto"/>
                <w:kern w:val="0"/>
                <w:szCs w:val="21"/>
                <w:highlight w:val="none"/>
                <w:u w:val="none"/>
              </w:rPr>
              <w:t>分；一般得</w:t>
            </w:r>
            <w:r>
              <w:rPr>
                <w:rFonts w:hint="eastAsia" w:asciiTheme="minorEastAsia" w:hAnsiTheme="minorEastAsia" w:eastAsiaTheme="minorEastAsia" w:cstheme="minorEastAsia"/>
                <w:color w:val="auto"/>
                <w:kern w:val="0"/>
                <w:szCs w:val="21"/>
                <w:highlight w:val="none"/>
                <w:u w:val="none"/>
                <w:lang w:val="en-US" w:eastAsia="zh-CN"/>
              </w:rPr>
              <w:t>1-4</w:t>
            </w:r>
            <w:r>
              <w:rPr>
                <w:rFonts w:hint="eastAsia" w:asciiTheme="minorEastAsia" w:hAnsiTheme="minorEastAsia" w:eastAsiaTheme="minorEastAsia" w:cstheme="minorEastAsia"/>
                <w:color w:val="auto"/>
                <w:kern w:val="0"/>
                <w:szCs w:val="21"/>
                <w:highlight w:val="none"/>
                <w:u w:val="none"/>
              </w:rPr>
              <w:t>分；未提供</w:t>
            </w:r>
            <w:r>
              <w:rPr>
                <w:rFonts w:hint="eastAsia" w:asciiTheme="minorEastAsia" w:hAnsiTheme="minorEastAsia" w:eastAsiaTheme="minorEastAsia" w:cstheme="minorEastAsia"/>
                <w:color w:val="auto"/>
                <w:kern w:val="0"/>
                <w:szCs w:val="21"/>
                <w:highlight w:val="none"/>
                <w:u w:val="none"/>
                <w:lang w:val="en-US" w:eastAsia="zh-CN"/>
              </w:rPr>
              <w:t>不得分</w:t>
            </w:r>
            <w:r>
              <w:rPr>
                <w:rFonts w:hint="eastAsia" w:asciiTheme="minorEastAsia" w:hAnsiTheme="minorEastAsia" w:eastAsiaTheme="minorEastAsia" w:cstheme="minorEastAsia"/>
                <w:color w:val="auto"/>
                <w:kern w:val="0"/>
                <w:szCs w:val="21"/>
                <w:highlight w:val="none"/>
                <w:u w:val="none"/>
                <w:lang w:eastAsia="zh-CN"/>
              </w:rPr>
              <w:t>；</w:t>
            </w:r>
          </w:p>
          <w:p w14:paraId="332438D2">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auto"/>
                <w:szCs w:val="21"/>
                <w:highlight w:val="none"/>
                <w:u w:val="none"/>
                <w:lang w:eastAsia="zh-CN"/>
              </w:rPr>
            </w:pPr>
            <w:r>
              <w:rPr>
                <w:rFonts w:hint="eastAsia" w:asciiTheme="minorEastAsia" w:hAnsiTheme="minorEastAsia" w:eastAsiaTheme="minorEastAsia" w:cstheme="minorEastAsia"/>
                <w:color w:val="auto"/>
                <w:kern w:val="0"/>
                <w:szCs w:val="21"/>
                <w:highlight w:val="none"/>
                <w:u w:val="none"/>
              </w:rPr>
              <w:t>2、评委根据</w:t>
            </w:r>
            <w:r>
              <w:rPr>
                <w:rFonts w:hint="eastAsia" w:asciiTheme="minorEastAsia" w:hAnsiTheme="minorEastAsia" w:eastAsiaTheme="minorEastAsia" w:cstheme="minorEastAsia"/>
                <w:color w:val="auto"/>
                <w:kern w:val="0"/>
                <w:szCs w:val="21"/>
                <w:highlight w:val="none"/>
                <w:u w:val="none"/>
                <w:lang w:val="en-US" w:eastAsia="zh-CN"/>
              </w:rPr>
              <w:t>供应商</w:t>
            </w:r>
            <w:r>
              <w:rPr>
                <w:rFonts w:hint="eastAsia" w:asciiTheme="minorEastAsia" w:hAnsiTheme="minorEastAsia" w:eastAsiaTheme="minorEastAsia" w:cstheme="minorEastAsia"/>
                <w:color w:val="auto"/>
                <w:szCs w:val="21"/>
                <w:highlight w:val="none"/>
                <w:u w:val="none"/>
              </w:rPr>
              <w:t>在</w:t>
            </w:r>
            <w:r>
              <w:rPr>
                <w:rFonts w:hint="eastAsia" w:asciiTheme="minorEastAsia" w:hAnsiTheme="minorEastAsia" w:eastAsiaTheme="minorEastAsia" w:cstheme="minorEastAsia"/>
                <w:color w:val="auto"/>
                <w:szCs w:val="21"/>
                <w:highlight w:val="none"/>
                <w:u w:val="none"/>
                <w:lang w:val="en-US" w:eastAsia="zh-CN"/>
              </w:rPr>
              <w:t>响应</w:t>
            </w:r>
            <w:r>
              <w:rPr>
                <w:rFonts w:hint="eastAsia" w:asciiTheme="minorEastAsia" w:hAnsiTheme="minorEastAsia" w:eastAsiaTheme="minorEastAsia" w:cstheme="minorEastAsia"/>
                <w:color w:val="auto"/>
                <w:szCs w:val="21"/>
                <w:highlight w:val="none"/>
                <w:u w:val="none"/>
              </w:rPr>
              <w:t>文件中提供关于本项目的售后服务方案进行评审，方案须包</w:t>
            </w:r>
            <w:r>
              <w:rPr>
                <w:rFonts w:hint="eastAsia" w:asciiTheme="minorEastAsia" w:hAnsiTheme="minorEastAsia" w:eastAsiaTheme="minorEastAsia" w:cstheme="minorEastAsia"/>
                <w:color w:val="auto"/>
                <w:spacing w:val="-1"/>
                <w:szCs w:val="21"/>
                <w:highlight w:val="none"/>
                <w:u w:val="none"/>
              </w:rPr>
              <w:t>含但不限于</w:t>
            </w:r>
            <w:r>
              <w:rPr>
                <w:rFonts w:hint="eastAsia" w:asciiTheme="minorEastAsia" w:hAnsiTheme="minorEastAsia" w:eastAsiaTheme="minorEastAsia" w:cstheme="minorEastAsia"/>
                <w:b/>
                <w:bCs/>
                <w:color w:val="auto"/>
                <w:spacing w:val="-1"/>
                <w:szCs w:val="21"/>
                <w:highlight w:val="none"/>
                <w:u w:val="none"/>
              </w:rPr>
              <w:t>售后响应时间、保障措施、质保期后的维保费用以及服务承诺条款等</w:t>
            </w:r>
            <w:r>
              <w:rPr>
                <w:rFonts w:hint="eastAsia" w:asciiTheme="minorEastAsia" w:hAnsiTheme="minorEastAsia" w:eastAsiaTheme="minorEastAsia" w:cstheme="minorEastAsia"/>
                <w:color w:val="auto"/>
                <w:spacing w:val="-1"/>
                <w:szCs w:val="21"/>
                <w:highlight w:val="none"/>
                <w:u w:val="none"/>
              </w:rPr>
              <w:t>，评委根据其售后服务方案的完整性、可行性、合理</w:t>
            </w:r>
            <w:r>
              <w:rPr>
                <w:rFonts w:hint="eastAsia" w:asciiTheme="minorEastAsia" w:hAnsiTheme="minorEastAsia" w:eastAsiaTheme="minorEastAsia" w:cstheme="minorEastAsia"/>
                <w:color w:val="auto"/>
                <w:spacing w:val="-2"/>
                <w:szCs w:val="21"/>
                <w:highlight w:val="none"/>
                <w:u w:val="none"/>
              </w:rPr>
              <w:t>性等进行综合评价</w:t>
            </w:r>
            <w:r>
              <w:rPr>
                <w:rFonts w:hint="eastAsia" w:asciiTheme="minorEastAsia" w:hAnsiTheme="minorEastAsia" w:eastAsiaTheme="minorEastAsia" w:cstheme="minorEastAsia"/>
                <w:color w:val="auto"/>
                <w:kern w:val="0"/>
                <w:szCs w:val="21"/>
                <w:highlight w:val="none"/>
                <w:u w:val="none"/>
              </w:rPr>
              <w:t>：</w:t>
            </w:r>
            <w:r>
              <w:rPr>
                <w:rFonts w:hint="eastAsia" w:asciiTheme="minorEastAsia" w:hAnsiTheme="minorEastAsia" w:eastAsiaTheme="minorEastAsia" w:cstheme="minorEastAsia"/>
                <w:color w:val="auto"/>
                <w:szCs w:val="21"/>
                <w:highlight w:val="none"/>
                <w:u w:val="none"/>
              </w:rPr>
              <w:t>优秀得</w:t>
            </w:r>
            <w:r>
              <w:rPr>
                <w:rFonts w:hint="eastAsia" w:asciiTheme="minorEastAsia" w:hAnsiTheme="minorEastAsia" w:eastAsiaTheme="minorEastAsia" w:cstheme="minorEastAsia"/>
                <w:color w:val="auto"/>
                <w:szCs w:val="21"/>
                <w:highlight w:val="none"/>
                <w:u w:val="none"/>
                <w:lang w:val="en-US" w:eastAsia="zh-CN"/>
              </w:rPr>
              <w:t>10-15</w:t>
            </w:r>
            <w:r>
              <w:rPr>
                <w:rFonts w:hint="eastAsia" w:asciiTheme="minorEastAsia" w:hAnsiTheme="minorEastAsia" w:eastAsiaTheme="minorEastAsia" w:cstheme="minorEastAsia"/>
                <w:color w:val="auto"/>
                <w:szCs w:val="21"/>
                <w:highlight w:val="none"/>
                <w:u w:val="none"/>
              </w:rPr>
              <w:t>分，较好得</w:t>
            </w:r>
            <w:r>
              <w:rPr>
                <w:rFonts w:hint="eastAsia" w:asciiTheme="minorEastAsia" w:hAnsiTheme="minorEastAsia" w:eastAsiaTheme="minorEastAsia" w:cstheme="minorEastAsia"/>
                <w:color w:val="auto"/>
                <w:szCs w:val="21"/>
                <w:highlight w:val="none"/>
                <w:u w:val="none"/>
                <w:lang w:val="en-US" w:eastAsia="zh-CN"/>
              </w:rPr>
              <w:t>5-9</w:t>
            </w:r>
            <w:r>
              <w:rPr>
                <w:rFonts w:hint="eastAsia" w:asciiTheme="minorEastAsia" w:hAnsiTheme="minorEastAsia" w:eastAsiaTheme="minorEastAsia" w:cstheme="minorEastAsia"/>
                <w:color w:val="auto"/>
                <w:szCs w:val="21"/>
                <w:highlight w:val="none"/>
                <w:u w:val="none"/>
              </w:rPr>
              <w:t>分，一般得</w:t>
            </w:r>
            <w:r>
              <w:rPr>
                <w:rFonts w:hint="eastAsia" w:asciiTheme="minorEastAsia" w:hAnsiTheme="minorEastAsia" w:eastAsiaTheme="minorEastAsia" w:cstheme="minorEastAsia"/>
                <w:color w:val="auto"/>
                <w:szCs w:val="21"/>
                <w:highlight w:val="none"/>
                <w:u w:val="none"/>
                <w:lang w:val="en-US" w:eastAsia="zh-CN"/>
              </w:rPr>
              <w:t>1-4</w:t>
            </w:r>
            <w:r>
              <w:rPr>
                <w:rFonts w:hint="eastAsia" w:asciiTheme="minorEastAsia" w:hAnsiTheme="minorEastAsia" w:eastAsiaTheme="minorEastAsia" w:cstheme="minorEastAsia"/>
                <w:color w:val="auto"/>
                <w:szCs w:val="21"/>
                <w:highlight w:val="none"/>
                <w:u w:val="none"/>
              </w:rPr>
              <w:t>分，</w:t>
            </w:r>
            <w:r>
              <w:rPr>
                <w:rFonts w:hint="eastAsia" w:asciiTheme="minorEastAsia" w:hAnsiTheme="minorEastAsia" w:eastAsiaTheme="minorEastAsia" w:cstheme="minorEastAsia"/>
                <w:color w:val="auto"/>
                <w:kern w:val="0"/>
                <w:szCs w:val="21"/>
                <w:highlight w:val="none"/>
                <w:u w:val="none"/>
                <w:lang w:val="en-US" w:eastAsia="zh-CN"/>
              </w:rPr>
              <w:t>未提供</w:t>
            </w:r>
            <w:r>
              <w:rPr>
                <w:rFonts w:hint="eastAsia" w:asciiTheme="minorEastAsia" w:hAnsiTheme="minorEastAsia" w:eastAsiaTheme="minorEastAsia" w:cstheme="minorEastAsia"/>
                <w:color w:val="auto"/>
                <w:szCs w:val="21"/>
                <w:highlight w:val="none"/>
                <w:u w:val="none"/>
              </w:rPr>
              <w:t>不得分</w:t>
            </w:r>
            <w:r>
              <w:rPr>
                <w:rFonts w:hint="eastAsia" w:asciiTheme="minorEastAsia" w:hAnsiTheme="minorEastAsia" w:eastAsiaTheme="minorEastAsia" w:cstheme="minorEastAsia"/>
                <w:color w:val="auto"/>
                <w:szCs w:val="21"/>
                <w:highlight w:val="none"/>
                <w:u w:val="none"/>
                <w:lang w:eastAsia="zh-CN"/>
              </w:rPr>
              <w:t>；</w:t>
            </w:r>
          </w:p>
          <w:p w14:paraId="52F502AB">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color w:val="auto"/>
                <w:szCs w:val="21"/>
                <w:highlight w:val="none"/>
                <w:u w:val="none"/>
              </w:rPr>
            </w:pPr>
          </w:p>
        </w:tc>
      </w:tr>
      <w:tr w14:paraId="510F2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8" w:hRule="atLeast"/>
        </w:trPr>
        <w:tc>
          <w:tcPr>
            <w:tcW w:w="855" w:type="dxa"/>
            <w:vAlign w:val="center"/>
          </w:tcPr>
          <w:p w14:paraId="7E87A4AC">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2.2.4（4）</w:t>
            </w:r>
          </w:p>
        </w:tc>
        <w:tc>
          <w:tcPr>
            <w:tcW w:w="705" w:type="dxa"/>
            <w:vAlign w:val="center"/>
          </w:tcPr>
          <w:p w14:paraId="5E7E654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color w:val="auto"/>
                <w:szCs w:val="21"/>
              </w:rPr>
              <w:t>评审价</w:t>
            </w:r>
          </w:p>
        </w:tc>
        <w:tc>
          <w:tcPr>
            <w:tcW w:w="990" w:type="dxa"/>
            <w:vAlign w:val="center"/>
          </w:tcPr>
          <w:p w14:paraId="74E3BD9F">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Cs w:val="21"/>
                <w:u w:val="none"/>
              </w:rPr>
            </w:pPr>
            <w:r>
              <w:rPr>
                <w:rFonts w:hint="eastAsia" w:asciiTheme="minorEastAsia" w:hAnsiTheme="minorEastAsia" w:cstheme="minorEastAsia"/>
                <w:color w:val="auto"/>
                <w:szCs w:val="21"/>
                <w:u w:val="none"/>
                <w:lang w:val="en-US" w:eastAsia="zh-CN"/>
              </w:rPr>
              <w:t>40</w:t>
            </w:r>
            <w:r>
              <w:rPr>
                <w:rFonts w:hint="eastAsia" w:asciiTheme="minorEastAsia" w:hAnsiTheme="minorEastAsia" w:eastAsiaTheme="minorEastAsia" w:cstheme="minorEastAsia"/>
                <w:color w:val="auto"/>
                <w:szCs w:val="21"/>
                <w:u w:val="none"/>
              </w:rPr>
              <w:t>分</w:t>
            </w:r>
          </w:p>
        </w:tc>
        <w:tc>
          <w:tcPr>
            <w:tcW w:w="1155" w:type="dxa"/>
            <w:vAlign w:val="center"/>
          </w:tcPr>
          <w:p w14:paraId="416728EE">
            <w:pPr>
              <w:pageBreakBefore w:val="0"/>
              <w:kinsoku/>
              <w:wordWrap/>
              <w:overflowPunct/>
              <w:topLinePunct w:val="0"/>
              <w:autoSpaceDE/>
              <w:autoSpaceDN/>
              <w:bidi w:val="0"/>
              <w:spacing w:line="380" w:lineRule="atLeast"/>
              <w:ind w:firstLine="315" w:firstLineChars="150"/>
              <w:jc w:val="both"/>
              <w:outlineLvl w:val="9"/>
              <w:rPr>
                <w:rFonts w:hint="eastAsia" w:asciiTheme="minorEastAsia" w:hAnsiTheme="minorEastAsia" w:eastAsiaTheme="minorEastAsia" w:cstheme="minorEastAsia"/>
                <w:color w:val="auto"/>
                <w:szCs w:val="21"/>
                <w:u w:val="none"/>
              </w:rPr>
            </w:pPr>
            <w:r>
              <w:rPr>
                <w:rFonts w:hint="eastAsia" w:asciiTheme="minorEastAsia" w:hAnsiTheme="minorEastAsia" w:eastAsiaTheme="minorEastAsia" w:cstheme="minorEastAsia"/>
                <w:color w:val="auto"/>
                <w:szCs w:val="21"/>
                <w:u w:val="none"/>
              </w:rPr>
              <w:t>报价</w:t>
            </w:r>
          </w:p>
        </w:tc>
        <w:tc>
          <w:tcPr>
            <w:tcW w:w="709" w:type="dxa"/>
            <w:vAlign w:val="center"/>
          </w:tcPr>
          <w:p w14:paraId="7E1FC5BB">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cstheme="minorEastAsia"/>
                <w:color w:val="auto"/>
                <w:szCs w:val="21"/>
                <w:highlight w:val="none"/>
                <w:u w:val="none"/>
                <w:lang w:val="en-US" w:eastAsia="zh-CN"/>
              </w:rPr>
              <w:t>40</w:t>
            </w:r>
            <w:r>
              <w:rPr>
                <w:rFonts w:hint="eastAsia" w:asciiTheme="minorEastAsia" w:hAnsiTheme="minorEastAsia" w:eastAsiaTheme="minorEastAsia" w:cstheme="minorEastAsia"/>
                <w:color w:val="auto"/>
                <w:szCs w:val="21"/>
                <w:highlight w:val="none"/>
                <w:u w:val="none"/>
              </w:rPr>
              <w:t>分</w:t>
            </w:r>
          </w:p>
        </w:tc>
        <w:tc>
          <w:tcPr>
            <w:tcW w:w="5696" w:type="dxa"/>
            <w:shd w:val="clear" w:color="auto" w:fill="auto"/>
          </w:tcPr>
          <w:p w14:paraId="4894EE49">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评审价得分计算公式示例：</w:t>
            </w:r>
          </w:p>
          <w:p w14:paraId="4AC500FC">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（1）如果供应商的评审价&gt;评审基准价，则评审价得分＝F－偏差率×100× E1；</w:t>
            </w:r>
          </w:p>
          <w:p w14:paraId="61C099E4">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none"/>
              </w:rPr>
              <w:t>（2）如果供应商的评审价≤评审基准价，则评审价得分＝F＋偏差率× 100× E2。</w:t>
            </w:r>
          </w:p>
          <w:p w14:paraId="0FD0F8EC">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highlight w:val="none"/>
                <w:u w:val="none"/>
              </w:rPr>
            </w:pPr>
            <w:r>
              <w:rPr>
                <w:rFonts w:hint="eastAsia" w:asciiTheme="minorEastAsia" w:hAnsiTheme="minorEastAsia" w:eastAsiaTheme="minorEastAsia" w:cstheme="minorEastAsia"/>
                <w:color w:val="auto"/>
                <w:sz w:val="21"/>
                <w:szCs w:val="21"/>
                <w:highlight w:val="none"/>
                <w:u w:val="none"/>
              </w:rPr>
              <w:t>其中：F是评审价所占的权重分值，F=</w:t>
            </w:r>
            <w:r>
              <w:rPr>
                <w:rFonts w:hint="eastAsia" w:asciiTheme="minorEastAsia" w:hAnsiTheme="minorEastAsia" w:cstheme="minorEastAsia"/>
                <w:color w:val="auto"/>
                <w:sz w:val="21"/>
                <w:szCs w:val="21"/>
                <w:highlight w:val="none"/>
                <w:u w:val="none"/>
                <w:lang w:val="en-US" w:eastAsia="zh-CN"/>
              </w:rPr>
              <w:t>40</w:t>
            </w:r>
            <w:r>
              <w:rPr>
                <w:rFonts w:hint="eastAsia" w:asciiTheme="minorEastAsia" w:hAnsiTheme="minorEastAsia" w:eastAsiaTheme="minorEastAsia" w:cstheme="minorEastAsia"/>
                <w:color w:val="auto"/>
                <w:sz w:val="21"/>
                <w:szCs w:val="21"/>
                <w:highlight w:val="none"/>
                <w:u w:val="none"/>
              </w:rPr>
              <w:t>，E1是评审价每高于评审基准价一个百分点的扣分值，E2是评审价每低于评审基准价一个百分点的扣分值； E1=0.2、E2=0.1，但E1应大于E2。评审价得分最低为0分。</w:t>
            </w:r>
          </w:p>
        </w:tc>
      </w:tr>
    </w:tbl>
    <w:p w14:paraId="6D6C0F5D">
      <w:pPr>
        <w:jc w:val="left"/>
        <w:rPr>
          <w:rFonts w:hint="eastAsia" w:asciiTheme="minorEastAsia" w:hAnsiTheme="minorEastAsia" w:eastAsiaTheme="minorEastAsia" w:cstheme="minorEastAsia"/>
          <w:sz w:val="29"/>
          <w:szCs w:val="29"/>
        </w:rPr>
      </w:pPr>
    </w:p>
    <w:p w14:paraId="13478F36">
      <w:pPr>
        <w:jc w:val="left"/>
        <w:rPr>
          <w:rFonts w:ascii="Times New Roman" w:hAnsi="Times New Roman" w:eastAsia="黑体" w:cs="Times New Roman"/>
          <w:bCs/>
          <w:sz w:val="24"/>
          <w:szCs w:val="32"/>
        </w:rPr>
      </w:pPr>
      <w:r>
        <w:rPr>
          <w:rFonts w:hint="eastAsia" w:asciiTheme="minorEastAsia" w:hAnsiTheme="minorEastAsia" w:eastAsiaTheme="minorEastAsia" w:cstheme="minorEastAsia"/>
          <w:sz w:val="29"/>
          <w:szCs w:val="29"/>
        </w:rPr>
        <w:br w:type="page"/>
      </w:r>
      <w:r>
        <w:rPr>
          <w:rFonts w:ascii="Times New Roman" w:hAnsi="Times New Roman" w:eastAsia="黑体" w:cs="Times New Roman"/>
          <w:bCs/>
          <w:sz w:val="24"/>
          <w:szCs w:val="32"/>
        </w:rPr>
        <w:t>1. 评审方法</w:t>
      </w:r>
    </w:p>
    <w:p w14:paraId="2FA5CEA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40BDB96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1C904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59BD495">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869211F">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7C17C06">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4B1D3E7B">
      <w:pPr>
        <w:keepNext/>
        <w:keepLines/>
        <w:spacing w:before="120" w:after="120"/>
        <w:outlineLvl w:val="2"/>
        <w:rPr>
          <w:rFonts w:ascii="Times New Roman" w:hAnsi="Times New Roman" w:eastAsia="黑体" w:cs="Times New Roman"/>
          <w:bCs/>
          <w:color w:val="auto"/>
          <w:sz w:val="24"/>
          <w:szCs w:val="32"/>
        </w:rPr>
      </w:pPr>
      <w:r>
        <w:rPr>
          <w:rFonts w:ascii="Times New Roman" w:hAnsi="Times New Roman" w:eastAsia="黑体" w:cs="Times New Roman"/>
          <w:bCs/>
          <w:color w:val="auto"/>
          <w:sz w:val="24"/>
          <w:szCs w:val="32"/>
        </w:rPr>
        <w:t>2.2 分值构成与评审标准</w:t>
      </w:r>
    </w:p>
    <w:p w14:paraId="37ED2F2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2.2.1分值构成：</w:t>
      </w:r>
    </w:p>
    <w:p w14:paraId="2B9D70B8">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（1）业绩：见评审办法前附表；</w:t>
      </w:r>
    </w:p>
    <w:p w14:paraId="0DEC58E4">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（2）技术性能：见评审办法前附表；</w:t>
      </w:r>
    </w:p>
    <w:p w14:paraId="2F0AAFFB">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（3）供货方案：见评审办法前附表；</w:t>
      </w:r>
    </w:p>
    <w:p w14:paraId="66AF4B21">
      <w:pPr>
        <w:spacing w:line="440" w:lineRule="exact"/>
        <w:ind w:firstLine="420"/>
        <w:rPr>
          <w:rFonts w:hint="eastAsia" w:ascii="Times New Roman" w:hAnsi="Times New Roman" w:eastAsia="宋体" w:cs="Times New Roman"/>
          <w:color w:val="auto"/>
        </w:rPr>
      </w:pPr>
      <w:r>
        <w:rPr>
          <w:rFonts w:hint="eastAsia" w:ascii="Times New Roman" w:hAnsi="Times New Roman" w:eastAsia="宋体" w:cs="Times New Roman"/>
          <w:color w:val="auto"/>
        </w:rPr>
        <w:t>（4）评审价：见评审办法前附表。</w:t>
      </w:r>
    </w:p>
    <w:p w14:paraId="096D8A6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2.2.2 评审基准价计算</w:t>
      </w:r>
    </w:p>
    <w:p w14:paraId="3DF42300">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评审基准价计算方法：见评审办法前附表。</w:t>
      </w:r>
    </w:p>
    <w:p w14:paraId="11517A8A">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2.2.3 评审价的偏差率计算</w:t>
      </w:r>
    </w:p>
    <w:p w14:paraId="7CB97C2D">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评审价的偏差率计算公式：见评审办法前附表。</w:t>
      </w:r>
    </w:p>
    <w:p w14:paraId="6A80151C">
      <w:pPr>
        <w:spacing w:line="440" w:lineRule="exact"/>
        <w:ind w:firstLine="420"/>
        <w:rPr>
          <w:rFonts w:ascii="Times New Roman" w:hAnsi="Times New Roman" w:eastAsia="宋体" w:cs="Times New Roman"/>
          <w:color w:val="auto"/>
        </w:rPr>
      </w:pPr>
      <w:r>
        <w:rPr>
          <w:rFonts w:ascii="Times New Roman" w:hAnsi="Times New Roman" w:eastAsia="宋体" w:cs="Times New Roman"/>
          <w:color w:val="auto"/>
        </w:rPr>
        <w:t>2.2.4评分标准：</w:t>
      </w:r>
    </w:p>
    <w:p w14:paraId="7B22B45C">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（1）业绩评分标准：见评审办法前附表；</w:t>
      </w:r>
    </w:p>
    <w:p w14:paraId="133D03E1">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（2）技术性能评分标准：见评审办法前附表；</w:t>
      </w:r>
    </w:p>
    <w:p w14:paraId="61B1F7B5">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（3）供货方案评分标准：见评审办法前附表；</w:t>
      </w:r>
    </w:p>
    <w:p w14:paraId="42F8E601">
      <w:pPr>
        <w:keepNext/>
        <w:keepLines/>
        <w:spacing w:before="156" w:beforeLines="50" w:after="156" w:afterLines="50"/>
        <w:ind w:firstLine="420" w:firstLineChars="200"/>
        <w:outlineLvl w:val="1"/>
        <w:rPr>
          <w:rFonts w:hint="eastAsia" w:ascii="Times New Roman" w:hAnsi="Times New Roman" w:eastAsia="宋体" w:cs="Times New Roman"/>
          <w:color w:val="auto"/>
        </w:rPr>
      </w:pPr>
      <w:r>
        <w:rPr>
          <w:rFonts w:hint="eastAsia" w:ascii="Times New Roman" w:hAnsi="Times New Roman" w:eastAsia="宋体" w:cs="Times New Roman"/>
          <w:color w:val="auto"/>
        </w:rPr>
        <w:t>（4）评审价评分标准：见评审办法前附表。</w:t>
      </w:r>
    </w:p>
    <w:p w14:paraId="05D6517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6FC7681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DB2D7D8">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08B4FF1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2DB2C616">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57213EE5">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42B5A208">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087FAC19">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0CD6B1B9">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589555E2">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0A28F8A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3D57FE8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F586F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21C6BE21">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47BA377A">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6E4E0DE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2E6B732F">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7D5E59AA">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76FE5622">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4D7BCA62">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77D61450">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5507F959">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DBF0D80">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0E23CB2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6A318B11">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4671EAD7">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7E7CD816">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49CB7030">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29CCA454">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5767A650">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3DE8B816">
      <w:pPr>
        <w:rPr>
          <w:rFonts w:ascii="等线" w:hAnsi="等线" w:eastAsia="等线" w:cs="Times New Roman"/>
          <w:szCs w:val="22"/>
        </w:rPr>
      </w:pPr>
    </w:p>
    <w:p w14:paraId="70E49B9F">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62F36B80">
      <w:pPr>
        <w:pStyle w:val="2"/>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hint="eastAsia" w:ascii="Times New Roman" w:hAnsi="Times New Roman" w:eastAsia="宋体" w:cs="Times New Roman"/>
          <w:lang w:val="en-US" w:eastAsia="zh-CN"/>
        </w:rPr>
        <w:t xml:space="preserve">  </w:t>
      </w:r>
      <w:r>
        <w:rPr>
          <w:rFonts w:ascii="Times New Roman" w:hAnsi="Times New Roman" w:eastAsia="宋体" w:cs="Times New Roman"/>
        </w:rPr>
        <w:t>合同内容</w:t>
      </w:r>
      <w:bookmarkEnd w:id="76"/>
    </w:p>
    <w:p w14:paraId="03481E12">
      <w:pPr>
        <w:ind w:firstLine="3840" w:firstLineChars="1200"/>
        <w:jc w:val="both"/>
        <w:rPr>
          <w:rFonts w:hint="eastAsia" w:asciiTheme="minorEastAsia" w:hAnsiTheme="minorEastAsia" w:eastAsiaTheme="minorEastAsia" w:cstheme="minorEastAsia"/>
          <w:sz w:val="32"/>
          <w:szCs w:val="32"/>
        </w:rPr>
      </w:pPr>
      <w:bookmarkStart w:id="77" w:name="_bookmark259"/>
      <w:bookmarkEnd w:id="77"/>
      <w:bookmarkStart w:id="78" w:name="_Toc501460622"/>
      <w:r>
        <w:rPr>
          <w:rFonts w:hint="eastAsia" w:asciiTheme="minorEastAsia" w:hAnsiTheme="minorEastAsia" w:eastAsiaTheme="minorEastAsia" w:cstheme="minorEastAsia"/>
          <w:sz w:val="32"/>
          <w:szCs w:val="32"/>
        </w:rPr>
        <w:t>采购合同</w:t>
      </w:r>
    </w:p>
    <w:p w14:paraId="0C112E33">
      <w:pPr>
        <w:ind w:firstLine="7200" w:firstLineChars="30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合同号：</w:t>
      </w:r>
    </w:p>
    <w:p w14:paraId="7EEACC41">
      <w:pPr>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甲方：安徽交运集团汽车销售有限公司</w:t>
      </w:r>
    </w:p>
    <w:p w14:paraId="2C956E92">
      <w:pPr>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w:t>
      </w:r>
    </w:p>
    <w:p w14:paraId="261CFA1B">
      <w:pPr>
        <w:spacing w:line="360" w:lineRule="auto"/>
        <w:rPr>
          <w:rFonts w:hint="eastAsia" w:asciiTheme="minorEastAsia" w:hAnsiTheme="minorEastAsia" w:eastAsiaTheme="minorEastAsia" w:cstheme="minorEastAsia"/>
          <w:szCs w:val="21"/>
        </w:rPr>
      </w:pPr>
    </w:p>
    <w:p w14:paraId="6CA345F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根据《中华人民共和国民法典》及相关法律法规的规定，甲乙双方在平等、自愿、公平、协商一致的基础上，甲乙双方就提供供货服务的有关事宜达成如下协议：</w:t>
      </w:r>
    </w:p>
    <w:p w14:paraId="17372533">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1.货物采购内容</w:t>
      </w:r>
    </w:p>
    <w:p w14:paraId="17965FC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1.1甲方要求乙方提供</w:t>
      </w:r>
      <w:bookmarkEnd w:id="78"/>
      <w:r>
        <w:rPr>
          <w:rFonts w:hint="eastAsia" w:asciiTheme="minorEastAsia" w:hAnsiTheme="minorEastAsia" w:eastAsiaTheme="minorEastAsia" w:cstheme="minorEastAsia"/>
          <w:szCs w:val="21"/>
        </w:rPr>
        <w:t>的货物类别、品牌型号、数量和价格如下表。</w:t>
      </w:r>
    </w:p>
    <w:tbl>
      <w:tblPr>
        <w:tblStyle w:val="17"/>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068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3" w:type="dxa"/>
            <w:vAlign w:val="center"/>
          </w:tcPr>
          <w:p w14:paraId="49CB699D">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序号</w:t>
            </w:r>
          </w:p>
        </w:tc>
        <w:tc>
          <w:tcPr>
            <w:tcW w:w="2037" w:type="dxa"/>
            <w:vAlign w:val="center"/>
          </w:tcPr>
          <w:p w14:paraId="0DBB041C">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货物名称</w:t>
            </w:r>
          </w:p>
        </w:tc>
        <w:tc>
          <w:tcPr>
            <w:tcW w:w="1789" w:type="dxa"/>
            <w:vAlign w:val="center"/>
          </w:tcPr>
          <w:p w14:paraId="1DD2CAD2">
            <w:pPr>
              <w:spacing w:line="360" w:lineRule="auto"/>
              <w:jc w:val="center"/>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规格型号</w:t>
            </w:r>
          </w:p>
        </w:tc>
        <w:tc>
          <w:tcPr>
            <w:tcW w:w="1636" w:type="dxa"/>
            <w:vAlign w:val="center"/>
          </w:tcPr>
          <w:p w14:paraId="290022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数量</w:t>
            </w:r>
          </w:p>
        </w:tc>
        <w:tc>
          <w:tcPr>
            <w:tcW w:w="1500" w:type="dxa"/>
            <w:vAlign w:val="center"/>
          </w:tcPr>
          <w:p w14:paraId="3236A64F">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单价（元）</w:t>
            </w:r>
          </w:p>
        </w:tc>
        <w:tc>
          <w:tcPr>
            <w:tcW w:w="1704" w:type="dxa"/>
            <w:vAlign w:val="center"/>
          </w:tcPr>
          <w:p w14:paraId="0A01EFEE">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合价（元）</w:t>
            </w:r>
          </w:p>
        </w:tc>
      </w:tr>
      <w:tr w14:paraId="6FF7E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B8DFDA0">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2037" w:type="dxa"/>
            <w:vAlign w:val="center"/>
          </w:tcPr>
          <w:p w14:paraId="3DC7FEE7">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008167A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71B8B6C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2CE68852">
            <w:pPr>
              <w:spacing w:line="360" w:lineRule="auto"/>
              <w:jc w:val="center"/>
              <w:rPr>
                <w:rFonts w:hint="eastAsia" w:asciiTheme="minorEastAsia" w:hAnsiTheme="minorEastAsia" w:eastAsiaTheme="minorEastAsia" w:cstheme="minorEastAsia"/>
                <w:szCs w:val="21"/>
              </w:rPr>
            </w:pPr>
          </w:p>
        </w:tc>
        <w:tc>
          <w:tcPr>
            <w:tcW w:w="1704" w:type="dxa"/>
            <w:vAlign w:val="center"/>
          </w:tcPr>
          <w:p w14:paraId="1BE5F7F5">
            <w:pPr>
              <w:spacing w:line="360" w:lineRule="auto"/>
              <w:jc w:val="center"/>
              <w:rPr>
                <w:rFonts w:hint="eastAsia" w:asciiTheme="minorEastAsia" w:hAnsiTheme="minorEastAsia" w:eastAsiaTheme="minorEastAsia" w:cstheme="minorEastAsia"/>
                <w:szCs w:val="21"/>
              </w:rPr>
            </w:pPr>
          </w:p>
        </w:tc>
      </w:tr>
      <w:tr w14:paraId="647E2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2343F3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c>
          <w:tcPr>
            <w:tcW w:w="2037" w:type="dxa"/>
            <w:vAlign w:val="center"/>
          </w:tcPr>
          <w:p w14:paraId="2FDBFC5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3BE6811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2C2D333">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76253B65">
            <w:pPr>
              <w:spacing w:line="360" w:lineRule="auto"/>
              <w:jc w:val="center"/>
              <w:rPr>
                <w:rFonts w:hint="eastAsia" w:asciiTheme="minorEastAsia" w:hAnsiTheme="minorEastAsia" w:eastAsiaTheme="minorEastAsia" w:cstheme="minorEastAsia"/>
                <w:szCs w:val="21"/>
              </w:rPr>
            </w:pPr>
          </w:p>
        </w:tc>
        <w:tc>
          <w:tcPr>
            <w:tcW w:w="1704" w:type="dxa"/>
            <w:vAlign w:val="center"/>
          </w:tcPr>
          <w:p w14:paraId="12E9F9FF">
            <w:pPr>
              <w:spacing w:line="360" w:lineRule="auto"/>
              <w:jc w:val="center"/>
              <w:rPr>
                <w:rFonts w:hint="eastAsia" w:asciiTheme="minorEastAsia" w:hAnsiTheme="minorEastAsia" w:eastAsiaTheme="minorEastAsia" w:cstheme="minorEastAsia"/>
                <w:szCs w:val="21"/>
              </w:rPr>
            </w:pPr>
          </w:p>
        </w:tc>
      </w:tr>
      <w:tr w14:paraId="7FDE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42C1B3D">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2037" w:type="dxa"/>
            <w:vAlign w:val="center"/>
          </w:tcPr>
          <w:p w14:paraId="537FEFBB">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43B6B7DC">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197CE31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06937353">
            <w:pPr>
              <w:spacing w:line="360" w:lineRule="auto"/>
              <w:jc w:val="center"/>
              <w:rPr>
                <w:rFonts w:hint="eastAsia" w:asciiTheme="minorEastAsia" w:hAnsiTheme="minorEastAsia" w:eastAsiaTheme="minorEastAsia" w:cstheme="minorEastAsia"/>
                <w:szCs w:val="21"/>
              </w:rPr>
            </w:pPr>
          </w:p>
        </w:tc>
        <w:tc>
          <w:tcPr>
            <w:tcW w:w="1704" w:type="dxa"/>
            <w:vAlign w:val="center"/>
          </w:tcPr>
          <w:p w14:paraId="01BB3EC7">
            <w:pPr>
              <w:spacing w:line="360" w:lineRule="auto"/>
              <w:jc w:val="center"/>
              <w:rPr>
                <w:rFonts w:hint="eastAsia" w:asciiTheme="minorEastAsia" w:hAnsiTheme="minorEastAsia" w:eastAsiaTheme="minorEastAsia" w:cstheme="minorEastAsia"/>
                <w:szCs w:val="21"/>
              </w:rPr>
            </w:pPr>
          </w:p>
        </w:tc>
      </w:tr>
      <w:tr w14:paraId="2CFC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11A5F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w:t>
            </w:r>
          </w:p>
        </w:tc>
        <w:tc>
          <w:tcPr>
            <w:tcW w:w="2037" w:type="dxa"/>
            <w:vAlign w:val="center"/>
          </w:tcPr>
          <w:p w14:paraId="5B65E681">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04677A95">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6B717C2">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5D0A2299">
            <w:pPr>
              <w:spacing w:line="360" w:lineRule="auto"/>
              <w:jc w:val="center"/>
              <w:rPr>
                <w:rFonts w:hint="eastAsia" w:asciiTheme="minorEastAsia" w:hAnsiTheme="minorEastAsia" w:eastAsiaTheme="minorEastAsia" w:cstheme="minorEastAsia"/>
                <w:szCs w:val="21"/>
              </w:rPr>
            </w:pPr>
          </w:p>
        </w:tc>
        <w:tc>
          <w:tcPr>
            <w:tcW w:w="1704" w:type="dxa"/>
            <w:vAlign w:val="center"/>
          </w:tcPr>
          <w:p w14:paraId="7E21BAF2">
            <w:pPr>
              <w:spacing w:line="360" w:lineRule="auto"/>
              <w:jc w:val="center"/>
              <w:rPr>
                <w:rFonts w:hint="eastAsia" w:asciiTheme="minorEastAsia" w:hAnsiTheme="minorEastAsia" w:eastAsiaTheme="minorEastAsia" w:cstheme="minorEastAsia"/>
                <w:szCs w:val="21"/>
              </w:rPr>
            </w:pPr>
          </w:p>
        </w:tc>
      </w:tr>
      <w:tr w14:paraId="42CB4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525BD5FB">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r>
              <w:rPr>
                <w:rFonts w:hint="eastAsia" w:asciiTheme="minorEastAsia" w:hAnsi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不含税价： 万       增值税：  万</w:t>
            </w:r>
          </w:p>
        </w:tc>
        <w:tc>
          <w:tcPr>
            <w:tcW w:w="1704" w:type="dxa"/>
            <w:vAlign w:val="center"/>
          </w:tcPr>
          <w:p w14:paraId="292A024B">
            <w:pPr>
              <w:spacing w:line="360" w:lineRule="auto"/>
              <w:jc w:val="center"/>
              <w:rPr>
                <w:rFonts w:hint="eastAsia" w:asciiTheme="minorEastAsia" w:hAnsiTheme="minorEastAsia" w:eastAsiaTheme="minorEastAsia" w:cstheme="minorEastAsia"/>
                <w:szCs w:val="21"/>
              </w:rPr>
            </w:pPr>
          </w:p>
        </w:tc>
      </w:tr>
    </w:tbl>
    <w:p w14:paraId="77F4BCB7">
      <w:pPr>
        <w:spacing w:line="360" w:lineRule="auto"/>
        <w:ind w:firstLine="420" w:firstLineChars="200"/>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szCs w:val="21"/>
        </w:rPr>
        <w:t>1.2</w:t>
      </w:r>
      <w:r>
        <w:rPr>
          <w:rFonts w:hint="eastAsia" w:asciiTheme="minorEastAsia" w:hAnsiTheme="minorEastAsia" w:eastAsiaTheme="minorEastAsia" w:cstheme="minorEastAsia"/>
          <w:color w:val="000000" w:themeColor="text1"/>
          <w:szCs w:val="21"/>
          <w14:textFill>
            <w14:solidFill>
              <w14:schemeClr w14:val="tx1"/>
            </w14:solidFill>
          </w14:textFill>
        </w:rPr>
        <w:t>上述费用包括货物的原材料、生产、包装、运输、安装调试试运行</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1"/>
          <w:lang w:val="en-US" w:eastAsia="zh-CN"/>
          <w14:textFill>
            <w14:solidFill>
              <w14:schemeClr w14:val="tx1"/>
            </w14:solidFill>
          </w14:textFill>
        </w:rPr>
        <w:t>培训</w:t>
      </w:r>
      <w:r>
        <w:rPr>
          <w:rFonts w:hint="eastAsia" w:asciiTheme="minorEastAsia" w:hAnsiTheme="minorEastAsia" w:eastAsiaTheme="minorEastAsia" w:cstheme="minorEastAsia"/>
          <w:color w:val="000000" w:themeColor="text1"/>
          <w:szCs w:val="21"/>
          <w14:textFill>
            <w14:solidFill>
              <w14:schemeClr w14:val="tx1"/>
            </w14:solidFill>
          </w14:textFill>
        </w:rPr>
        <w:t>及所需的附属材料（如需）、报检验收、利润、税费等一切相关费用。</w:t>
      </w:r>
    </w:p>
    <w:p w14:paraId="4C098D46">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2.质量要求</w:t>
      </w:r>
    </w:p>
    <w:p w14:paraId="1982A08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应保证所供货物的技术指标符合国家有关标准及甲方的质量技术要求，保证其货物在正常使用和保养条件下，在其使用寿命期内应具有满意的性能。在规定质量保证期内，乙方应对由于工艺或材料的缺陷而产生的缺陷负责，在“三包有效期内”对甲方承担三包责任。</w:t>
      </w:r>
    </w:p>
    <w:p w14:paraId="06AA8988">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3.保修期限</w:t>
      </w:r>
    </w:p>
    <w:p w14:paraId="42595F62">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乙方所供货物的保修期限为：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u w:val="single"/>
        </w:rPr>
        <w:t>自甲方验收合格货物之日起计算</w:t>
      </w:r>
      <w:r>
        <w:rPr>
          <w:rFonts w:hint="eastAsia" w:asciiTheme="minorEastAsia" w:hAnsiTheme="minorEastAsia" w:eastAsiaTheme="minorEastAsia" w:cstheme="minorEastAsia"/>
          <w:szCs w:val="21"/>
          <w:u w:val="single"/>
        </w:rPr>
        <w:t xml:space="preserve"> 。</w:t>
      </w:r>
    </w:p>
    <w:p w14:paraId="7F793E43">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4.交货地点：</w:t>
      </w:r>
      <w:r>
        <w:rPr>
          <w:rFonts w:hint="eastAsia" w:asciiTheme="minorEastAsia" w:hAnsiTheme="minorEastAsia" w:eastAsiaTheme="minorEastAsia" w:cstheme="minorEastAsia"/>
          <w:szCs w:val="21"/>
          <w:u w:val="single"/>
        </w:rPr>
        <w:t>甲方指定</w:t>
      </w:r>
      <w:r>
        <w:rPr>
          <w:rFonts w:hint="eastAsia" w:asciiTheme="minorEastAsia" w:hAnsiTheme="minorEastAsia" w:eastAsiaTheme="minorEastAsia" w:cstheme="minorEastAsia"/>
          <w:szCs w:val="21"/>
        </w:rPr>
        <w:t>。</w:t>
      </w:r>
    </w:p>
    <w:p w14:paraId="798758DC">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5.供货期限</w:t>
      </w:r>
    </w:p>
    <w:p w14:paraId="7315399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本项目供货期限为：；自年月日起至年月日止。</w:t>
      </w:r>
    </w:p>
    <w:p w14:paraId="3E65F9C2">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6.付款方式</w:t>
      </w:r>
    </w:p>
    <w:p w14:paraId="03313078">
      <w:pPr>
        <w:widowControl/>
        <w:adjustRightInd w:val="0"/>
        <w:snapToGrid w:val="0"/>
        <w:spacing w:line="400" w:lineRule="atLeast"/>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color w:val="333333"/>
          <w:kern w:val="0"/>
          <w:szCs w:val="21"/>
          <w:highlight w:val="none"/>
        </w:rPr>
        <w:t>6.1所购</w:t>
      </w:r>
      <w:r>
        <w:rPr>
          <w:rFonts w:hint="eastAsia" w:asciiTheme="minorEastAsia" w:hAnsiTheme="minorEastAsia" w:eastAsiaTheme="minorEastAsia" w:cstheme="minorEastAsia"/>
          <w:color w:val="333333"/>
          <w:kern w:val="0"/>
          <w:szCs w:val="21"/>
          <w:highlight w:val="none"/>
          <w:lang w:val="en-US" w:eastAsia="zh-CN"/>
        </w:rPr>
        <w:t>货物</w:t>
      </w:r>
      <w:r>
        <w:rPr>
          <w:rFonts w:hint="eastAsia" w:asciiTheme="minorEastAsia" w:hAnsiTheme="minorEastAsia" w:eastAsiaTheme="minorEastAsia" w:cstheme="minorEastAsia"/>
          <w:color w:val="333333"/>
          <w:kern w:val="0"/>
          <w:szCs w:val="21"/>
          <w:highlight w:val="none"/>
        </w:rPr>
        <w:t>送到询价单位指定交付地点经验收合格并开具销售增值税专用发票，</w:t>
      </w:r>
      <w:r>
        <w:rPr>
          <w:rFonts w:hint="eastAsia" w:asciiTheme="minorEastAsia" w:hAnsiTheme="minorEastAsia" w:eastAsiaTheme="minorEastAsia" w:cstheme="minorEastAsia"/>
          <w:szCs w:val="21"/>
          <w:highlight w:val="none"/>
        </w:rPr>
        <w:t>交接验收</w:t>
      </w:r>
      <w:r>
        <w:rPr>
          <w:rFonts w:hint="eastAsia" w:asciiTheme="minorEastAsia" w:hAnsiTheme="minorEastAsia" w:eastAsiaTheme="minorEastAsia" w:cstheme="minorEastAsia"/>
          <w:szCs w:val="21"/>
          <w:highlight w:val="none"/>
          <w:lang w:val="en-US" w:eastAsia="zh-CN"/>
        </w:rPr>
        <w:t>合格后30</w:t>
      </w:r>
      <w:r>
        <w:rPr>
          <w:rFonts w:hint="eastAsia" w:asciiTheme="minorEastAsia" w:hAnsiTheme="minorEastAsia" w:eastAsiaTheme="minorEastAsia" w:cstheme="minorEastAsia"/>
          <w:szCs w:val="21"/>
          <w:highlight w:val="none"/>
        </w:rPr>
        <w:t>个工作日内，</w:t>
      </w:r>
      <w:r>
        <w:rPr>
          <w:rFonts w:hint="eastAsia" w:asciiTheme="minorEastAsia" w:hAnsiTheme="minorEastAsia" w:eastAsiaTheme="minorEastAsia" w:cstheme="minorEastAsia"/>
          <w:kern w:val="0"/>
          <w:szCs w:val="21"/>
          <w:highlight w:val="none"/>
          <w:lang w:val="en-US" w:eastAsia="zh-CN"/>
        </w:rPr>
        <w:t>一次性付款</w:t>
      </w:r>
      <w:r>
        <w:rPr>
          <w:rFonts w:hint="eastAsia" w:asciiTheme="minorEastAsia" w:hAnsiTheme="minorEastAsia" w:eastAsiaTheme="minorEastAsia" w:cstheme="minorEastAsia"/>
          <w:kern w:val="0"/>
          <w:szCs w:val="21"/>
        </w:rPr>
        <w:t>。</w:t>
      </w:r>
    </w:p>
    <w:p w14:paraId="767196CF">
      <w:pPr>
        <w:widowControl/>
        <w:adjustRightInd w:val="0"/>
        <w:snapToGrid w:val="0"/>
        <w:spacing w:line="400" w:lineRule="atLeast"/>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6.2乙方提供的发票出现税务或虚假问题时，乙方应承担赔偿责任。</w:t>
      </w:r>
    </w:p>
    <w:p w14:paraId="492DF5C9">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 xml:space="preserve"> 收款账户</w:t>
      </w:r>
    </w:p>
    <w:p w14:paraId="761E097C">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账户名：</w:t>
      </w:r>
    </w:p>
    <w:p w14:paraId="5983C531">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359B96BC">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账号：</w:t>
      </w:r>
    </w:p>
    <w:p w14:paraId="621BE944">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07097F01">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开户行：</w:t>
      </w:r>
    </w:p>
    <w:p w14:paraId="66F63113">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63D2F9EC">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6.4甲方开票信息</w:t>
      </w:r>
    </w:p>
    <w:p w14:paraId="24914B58">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单位名称：安徽交运集团汽车销售有限公司</w:t>
      </w:r>
    </w:p>
    <w:p w14:paraId="3D8D3F88">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账号：1024 2010 2100 0343 519</w:t>
      </w:r>
    </w:p>
    <w:p w14:paraId="6DE6C059">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开户行：徽商银行合肥新站支行</w:t>
      </w:r>
    </w:p>
    <w:p w14:paraId="14C91756">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纳税人识别号：9134 0000 7950 6736 3T </w:t>
      </w:r>
    </w:p>
    <w:p w14:paraId="7F9C80B9">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地址：安徽省合肥市瑶海区胜利路35号</w:t>
      </w:r>
    </w:p>
    <w:p w14:paraId="3E6F76BE">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szCs w:val="21"/>
        </w:rPr>
      </w:pPr>
      <w:r>
        <w:rPr>
          <w:rFonts w:hint="eastAsia" w:asciiTheme="minorEastAsia" w:hAnsiTheme="minorEastAsia" w:eastAsiaTheme="minorEastAsia" w:cstheme="minorEastAsia"/>
          <w:b w:val="0"/>
          <w:bCs w:val="0"/>
          <w:color w:val="000000" w:themeColor="text1"/>
          <w:sz w:val="21"/>
          <w:szCs w:val="21"/>
          <w:lang w:val="en-US" w:eastAsia="zh-CN"/>
          <w14:textFill>
            <w14:solidFill>
              <w14:schemeClr w14:val="tx1"/>
            </w14:solidFill>
          </w14:textFill>
        </w:rPr>
        <w:t xml:space="preserve">电话：0551-64299068  </w:t>
      </w:r>
    </w:p>
    <w:p w14:paraId="255DB711">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7.权利瑕疵担保</w:t>
      </w:r>
    </w:p>
    <w:p w14:paraId="27A15D03">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7.1乙方保证对其出售的货物享有合法的权利。</w:t>
      </w:r>
    </w:p>
    <w:p w14:paraId="6D88732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7.2乙方保证在其出售的货物上不存在任何未曾向对方透露的担保物权，如抵押权、质押权、留置权等。</w:t>
      </w:r>
    </w:p>
    <w:p w14:paraId="558D9C2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7.3乙方保证其所出售的货物没有侵犯任何第三人的知识产权和商业秘密等权利。</w:t>
      </w:r>
    </w:p>
    <w:p w14:paraId="2FFD62AF">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7.4如甲方使用该货物构成上述侵权的，则由乙方承担全部责任。</w:t>
      </w:r>
    </w:p>
    <w:p w14:paraId="30821E3A">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7.5如货物需要乙方负责安装的，乙方承担验收合格前发生的安全责任。</w:t>
      </w:r>
    </w:p>
    <w:p w14:paraId="15DD72F8">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8.包装规定</w:t>
      </w:r>
    </w:p>
    <w:p w14:paraId="68A16332">
      <w:pPr>
        <w:spacing w:line="360" w:lineRule="auto"/>
        <w:ind w:firstLine="420" w:firstLineChars="200"/>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8.1包装要求及费用负担：乙方所售的全部货物均应按标准保护措施进行包装，这类包装应适应于远距离运输，防潮，防震，防锈和防野蛮装卸等要求，以确保货物安全无损地运抵甲方指定地点。</w:t>
      </w:r>
    </w:p>
    <w:p w14:paraId="0114E72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8.2每一个包装箱内应附有出标准配置的有关技术，质量，三包等资料。</w:t>
      </w:r>
    </w:p>
    <w:p w14:paraId="74EE9DE0">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9.验收及安装</w:t>
      </w:r>
    </w:p>
    <w:p w14:paraId="3C58E34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9.1由甲方根据货物的技术规格要求和质量标准，对货物进行检查验收。</w:t>
      </w:r>
    </w:p>
    <w:p w14:paraId="51D42C7A">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9.2如检验不满足采购文件要求或不能按照国家标准正常使用，由乙方返工。如再次检验不合格，甲方有权取消合同，</w:t>
      </w:r>
      <w:r>
        <w:rPr>
          <w:rFonts w:hint="eastAsia" w:asciiTheme="minorEastAsia" w:hAnsiTheme="minorEastAsia" w:eastAsiaTheme="minorEastAsia" w:cstheme="minorEastAsia"/>
        </w:rPr>
        <w:t>乙方需全额退还货款且承担相应损失。</w:t>
      </w:r>
    </w:p>
    <w:p w14:paraId="55341B4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9.3乙方提供的货物，需提供相应的货物质量合格证书和说明书。乙方交货必须严格按照合同约定的产品规格、型号要求，否则甲方有权拒收。收货后发现返修率达到</w:t>
      </w:r>
      <w:r>
        <w:rPr>
          <w:rFonts w:hint="eastAsia" w:asciiTheme="minorEastAsia" w:hAnsiTheme="minorEastAsia" w:eastAsiaTheme="minorEastAsia" w:cstheme="minorEastAsia"/>
          <w:szCs w:val="21"/>
          <w:u w:val="single"/>
        </w:rPr>
        <w:t xml:space="preserve"> 10 </w:t>
      </w:r>
      <w:r>
        <w:rPr>
          <w:rFonts w:hint="eastAsia" w:asciiTheme="minorEastAsia" w:hAnsiTheme="minorEastAsia" w:eastAsiaTheme="minorEastAsia" w:cstheme="minorEastAsia"/>
          <w:szCs w:val="21"/>
        </w:rPr>
        <w:t>%以上的，甲方有权终止合同，</w:t>
      </w:r>
      <w:r>
        <w:rPr>
          <w:rFonts w:hint="eastAsia" w:asciiTheme="minorEastAsia" w:hAnsiTheme="minorEastAsia" w:eastAsiaTheme="minorEastAsia" w:cstheme="minorEastAsia"/>
        </w:rPr>
        <w:t>乙方需全额退还货款且承担相应损失。</w:t>
      </w:r>
    </w:p>
    <w:p w14:paraId="42C9BCE4">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10.售后服务</w:t>
      </w:r>
    </w:p>
    <w:p w14:paraId="158E908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10.1乙方承诺的售后服务按照响应文件的服务承诺方案实施。</w:t>
      </w:r>
    </w:p>
    <w:p w14:paraId="3590061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10.2货物售后服务质量技术标准：按国家新“三包”规定执行，如有质量问题7天内包退，15天内包换。</w:t>
      </w:r>
    </w:p>
    <w:p w14:paraId="3235BA82">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10.3货物出现产品故障时，售后响应时间为</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p>
    <w:p w14:paraId="18DC9F98">
      <w:pPr>
        <w:spacing w:line="360" w:lineRule="auto"/>
        <w:ind w:firstLine="420" w:firstLineChars="200"/>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10.4售后服务由乙方全权负责，成立专门售后服务小组，保证提供完善的售后服务。售后联系人：</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p>
    <w:p w14:paraId="09703192">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11.违约责任</w:t>
      </w:r>
    </w:p>
    <w:p w14:paraId="68ADC61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11.1因乙方原因不能按照约定期限交货并完成安装（如需）的，应承担违约责任。即每逾期一天须向甲方支付逾期货物价款</w:t>
      </w:r>
      <w:r>
        <w:rPr>
          <w:rFonts w:hint="eastAsia" w:asciiTheme="minorEastAsia" w:hAnsiTheme="minorEastAsia" w:eastAsiaTheme="minorEastAsia" w:cstheme="minorEastAsia"/>
          <w:szCs w:val="21"/>
          <w:u w:val="single"/>
        </w:rPr>
        <w:t xml:space="preserve">1 </w:t>
      </w:r>
      <w:r>
        <w:rPr>
          <w:rFonts w:hint="eastAsia" w:asciiTheme="minorEastAsia" w:hAnsiTheme="minorEastAsia" w:eastAsiaTheme="minorEastAsia" w:cstheme="minorEastAsia"/>
          <w:szCs w:val="21"/>
        </w:rPr>
        <w:t>%的违约金，延期超过</w:t>
      </w:r>
      <w:r>
        <w:rPr>
          <w:rFonts w:hint="eastAsia" w:asciiTheme="minorEastAsia" w:hAnsiTheme="minorEastAsia" w:eastAsiaTheme="minorEastAsia" w:cstheme="minorEastAsia"/>
          <w:szCs w:val="21"/>
          <w:u w:val="single"/>
        </w:rPr>
        <w:t xml:space="preserve">10 </w:t>
      </w:r>
      <w:r>
        <w:rPr>
          <w:rFonts w:hint="eastAsia" w:asciiTheme="minorEastAsia" w:hAnsiTheme="minorEastAsia" w:eastAsiaTheme="minorEastAsia" w:cstheme="minorEastAsia"/>
          <w:szCs w:val="21"/>
        </w:rPr>
        <w:t>日的，甲方将解除合同并要求乙方赔偿逾期损失。</w:t>
      </w:r>
    </w:p>
    <w:p w14:paraId="12A4E42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11.2乙方交付货物不符合相关质量标准的，乙方负责包修包换，其中修理三次仍不能正常使用的，乙方同意按退货处理。乙方保修包换设备及退货退款的，应当在</w:t>
      </w:r>
      <w:r>
        <w:rPr>
          <w:rFonts w:hint="eastAsia" w:asciiTheme="minorEastAsia" w:hAnsiTheme="minorEastAsia" w:eastAsiaTheme="minorEastAsia" w:cstheme="minorEastAsia"/>
          <w:szCs w:val="21"/>
          <w:u w:val="single"/>
        </w:rPr>
        <w:t xml:space="preserve">3 </w:t>
      </w:r>
      <w:r>
        <w:rPr>
          <w:rFonts w:hint="eastAsia" w:asciiTheme="minorEastAsia" w:hAnsiTheme="minorEastAsia" w:eastAsiaTheme="minorEastAsia" w:cstheme="minorEastAsia"/>
          <w:szCs w:val="21"/>
        </w:rPr>
        <w:t>日内完成，不能按约定完成的，每天按相应货物价款的</w:t>
      </w:r>
      <w:r>
        <w:rPr>
          <w:rFonts w:hint="eastAsia" w:asciiTheme="minorEastAsia" w:hAnsiTheme="minorEastAsia" w:eastAsiaTheme="minorEastAsia" w:cstheme="minorEastAsia"/>
          <w:szCs w:val="21"/>
          <w:u w:val="single"/>
        </w:rPr>
        <w:t xml:space="preserve">1 </w:t>
      </w:r>
      <w:r>
        <w:rPr>
          <w:rFonts w:hint="eastAsia" w:asciiTheme="minorEastAsia" w:hAnsiTheme="minorEastAsia" w:eastAsiaTheme="minorEastAsia" w:cstheme="minorEastAsia"/>
          <w:szCs w:val="21"/>
        </w:rPr>
        <w:t>%的标准向甲方支付违约金。</w:t>
      </w:r>
    </w:p>
    <w:p w14:paraId="6930C26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11.3乙方货物运输、安装、调试、试运行等过程中对自身或他人造成的任何人身或财产损失，均全部由乙方负责。</w:t>
      </w:r>
    </w:p>
    <w:p w14:paraId="621DEA1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11.4乙方所交付货物侵犯第三方权益的，应承担由此给甲方造成的一切损失，并承担一切后果。</w:t>
      </w:r>
    </w:p>
    <w:p w14:paraId="7A2452F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11.5若发生其他违约情形，违约方应赔偿由此给对方的损失。如属双方过失，应各自承担相应责任。</w:t>
      </w:r>
    </w:p>
    <w:p w14:paraId="2353B758">
      <w:pPr>
        <w:spacing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11.6</w:t>
      </w: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bCs/>
          <w:szCs w:val="21"/>
        </w:rPr>
        <w:t>必须保证甲方在使用乙方提供的货物时，不存在任何已知的不合法的情形，也不存在已知的与第三方专利权</w:t>
      </w:r>
      <w:r>
        <w:rPr>
          <w:rFonts w:hint="eastAsia" w:asciiTheme="minorEastAsia" w:hAnsiTheme="minorEastAsia" w:eastAsiaTheme="minorEastAsia" w:cstheme="minorEastAsia"/>
          <w:szCs w:val="21"/>
        </w:rPr>
        <w:t>、著作权、商标权或工业设计权相关的任何争议，如果有任何因甲方使用乙方提供的货物而提起的侵权指控，乙方依法承担全部责任</w:t>
      </w:r>
      <w:r>
        <w:rPr>
          <w:rFonts w:hint="eastAsia" w:asciiTheme="minorEastAsia" w:hAnsiTheme="minorEastAsia" w:eastAsiaTheme="minorEastAsia" w:cstheme="minorEastAsia"/>
          <w:bCs/>
          <w:szCs w:val="21"/>
        </w:rPr>
        <w:t>。</w:t>
      </w:r>
    </w:p>
    <w:p w14:paraId="7F698419">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12.合同的变更</w:t>
      </w:r>
    </w:p>
    <w:p w14:paraId="7D51427D">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12.1在合同履行过程中，供货价格不随任何因素发生变化。</w:t>
      </w:r>
    </w:p>
    <w:p w14:paraId="19A9F19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12.2在合同履行过程中，甲方有权调整供货数量。如增加或减少供货数量时，甲方应提前日通知乙方。对增加供货数量的，乙方应在在接到甲方补单通知后日内将增加的货物按本合同价格及相关质量要求及时供货到位。</w:t>
      </w:r>
    </w:p>
    <w:p w14:paraId="6527D6F9">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13.不可抗力</w:t>
      </w:r>
    </w:p>
    <w:p w14:paraId="4357A86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一方当事人因不可抗力不能按照约定履行本合同的，根据不可抗力的影响，可部分或全部免除责任，但应当及时告知对方，并自不可抗力结束之日起十五日内向对方当事人提供证明。</w:t>
      </w:r>
    </w:p>
    <w:p w14:paraId="7E2EB45D">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14.争议解决方式</w:t>
      </w:r>
    </w:p>
    <w:p w14:paraId="189CDDF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本合同项下所发生的争议，由双方协商解决，协商不成的，依法向甲方所在地有管辖权的人民法院提起诉讼解决。</w:t>
      </w:r>
    </w:p>
    <w:p w14:paraId="07BCD121">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15.其他条款</w:t>
      </w:r>
    </w:p>
    <w:p w14:paraId="5F289814">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15.1本合同自双方签名盖章之日起生效。本合同及附件共页，一式</w:t>
      </w:r>
      <w:r>
        <w:rPr>
          <w:rFonts w:hint="eastAsia" w:asciiTheme="minorEastAsia" w:hAnsiTheme="minorEastAsia" w:eastAsiaTheme="minorEastAsia" w:cstheme="minorEastAsia"/>
          <w:szCs w:val="21"/>
          <w:u w:val="single"/>
        </w:rPr>
        <w:t>四</w:t>
      </w:r>
      <w:r>
        <w:rPr>
          <w:rFonts w:hint="eastAsia" w:asciiTheme="minorEastAsia" w:hAnsiTheme="minorEastAsia" w:eastAsiaTheme="minorEastAsia" w:cstheme="minorEastAsia"/>
          <w:szCs w:val="21"/>
        </w:rPr>
        <w:t>份，具有同等法律效力，其中甲方</w:t>
      </w:r>
      <w:r>
        <w:rPr>
          <w:rFonts w:hint="eastAsia" w:asciiTheme="minorEastAsia" w:hAnsiTheme="minorEastAsia" w:eastAsiaTheme="minorEastAsia" w:cstheme="minorEastAsia"/>
          <w:szCs w:val="21"/>
          <w:u w:val="single"/>
        </w:rPr>
        <w:t>贰</w:t>
      </w:r>
      <w:r>
        <w:rPr>
          <w:rFonts w:hint="eastAsia" w:asciiTheme="minorEastAsia" w:hAnsiTheme="minorEastAsia" w:eastAsiaTheme="minorEastAsia" w:cstheme="minorEastAsia"/>
          <w:szCs w:val="21"/>
        </w:rPr>
        <w:t>份，乙方</w:t>
      </w:r>
      <w:r>
        <w:rPr>
          <w:rFonts w:hint="eastAsia" w:asciiTheme="minorEastAsia" w:hAnsiTheme="minorEastAsia" w:eastAsiaTheme="minorEastAsia" w:cstheme="minorEastAsia"/>
          <w:szCs w:val="21"/>
          <w:u w:val="single"/>
        </w:rPr>
        <w:t>贰</w:t>
      </w:r>
      <w:r>
        <w:rPr>
          <w:rFonts w:hint="eastAsia" w:asciiTheme="minorEastAsia" w:hAnsiTheme="minorEastAsia" w:eastAsiaTheme="minorEastAsia" w:cstheme="minorEastAsia"/>
          <w:szCs w:val="21"/>
        </w:rPr>
        <w:t>份。</w:t>
      </w:r>
    </w:p>
    <w:p w14:paraId="7EBFACCE">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15.2本项目采购文件、响应文件、成交通知书以及合同履行过程中形成的各种书面文件，经双方签署确认后为本合同的组成部分，与本合同具有同等法律效力，解释的顺序除有特别说明外，以文件生成时间在后的为准。</w:t>
      </w:r>
    </w:p>
    <w:p w14:paraId="0B07A564">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15.3本合同未尽事宜，双方可协商签订补充协议，补充协议与本合同具有同等法律效力。</w:t>
      </w:r>
    </w:p>
    <w:p w14:paraId="4D4C252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15.4其他约定：。</w:t>
      </w:r>
    </w:p>
    <w:p w14:paraId="5034FA59">
      <w:pPr>
        <w:spacing w:line="360" w:lineRule="auto"/>
        <w:ind w:firstLine="420" w:firstLineChars="200"/>
        <w:rPr>
          <w:rFonts w:hint="eastAsia" w:asciiTheme="minorEastAsia" w:hAnsiTheme="minorEastAsia" w:eastAsiaTheme="minorEastAsia" w:cstheme="minorEastAsia"/>
          <w:szCs w:val="21"/>
        </w:rPr>
      </w:pPr>
    </w:p>
    <w:p w14:paraId="19F0DD3E">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盖单位章</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ab/>
      </w:r>
    </w:p>
    <w:p w14:paraId="0EE638D7">
      <w:pPr>
        <w:spacing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单位负责人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或其委托代理人：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签名</w:t>
      </w:r>
      <w:r>
        <w:rPr>
          <w:rFonts w:hint="eastAsia" w:asciiTheme="minorEastAsia" w:hAnsiTheme="minorEastAsia" w:eastAsiaTheme="minorEastAsia" w:cstheme="minorEastAsia"/>
          <w:szCs w:val="21"/>
          <w:lang w:eastAsia="zh-CN"/>
        </w:rPr>
        <w:t>）</w:t>
      </w:r>
    </w:p>
    <w:p w14:paraId="4F566D7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年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月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日</w:t>
      </w:r>
    </w:p>
    <w:p w14:paraId="3A01FE7E">
      <w:pPr>
        <w:spacing w:line="360" w:lineRule="auto"/>
        <w:ind w:firstLine="420" w:firstLineChars="200"/>
        <w:rPr>
          <w:rFonts w:hint="eastAsia" w:asciiTheme="minorEastAsia" w:hAnsiTheme="minorEastAsia" w:eastAsiaTheme="minorEastAsia" w:cstheme="minorEastAsia"/>
          <w:szCs w:val="21"/>
        </w:rPr>
      </w:pPr>
    </w:p>
    <w:p w14:paraId="024E19B2">
      <w:pPr>
        <w:pStyle w:val="3"/>
        <w:numPr>
          <w:ilvl w:val="0"/>
          <w:numId w:val="0"/>
        </w:numPr>
        <w:ind w:left="417" w:leftChars="0"/>
        <w:rPr>
          <w:rFonts w:hint="eastAsia" w:asciiTheme="minorEastAsia" w:hAnsiTheme="minorEastAsia" w:eastAsiaTheme="minorEastAsia" w:cstheme="minorEastAsia"/>
        </w:rPr>
      </w:pPr>
    </w:p>
    <w:p w14:paraId="03271DED">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盖单位章</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ab/>
      </w:r>
    </w:p>
    <w:p w14:paraId="7C05D4A8">
      <w:pPr>
        <w:spacing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单位负责人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或其委托代理人：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签名</w:t>
      </w:r>
      <w:r>
        <w:rPr>
          <w:rFonts w:hint="eastAsia" w:asciiTheme="minorEastAsia" w:hAnsiTheme="minorEastAsia" w:eastAsiaTheme="minorEastAsia" w:cstheme="minorEastAsia"/>
          <w:szCs w:val="21"/>
          <w:lang w:eastAsia="zh-CN"/>
        </w:rPr>
        <w:t>）</w:t>
      </w:r>
    </w:p>
    <w:p w14:paraId="3C7E38D0">
      <w:pPr>
        <w:spacing w:line="360" w:lineRule="auto"/>
        <w:ind w:firstLine="42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月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日</w:t>
      </w:r>
    </w:p>
    <w:p w14:paraId="01D1A581">
      <w:pPr>
        <w:snapToGrid w:val="0"/>
        <w:spacing w:line="440" w:lineRule="exact"/>
        <w:rPr>
          <w:rFonts w:ascii="Times New Roman" w:hAnsi="Times New Roman" w:cs="Times New Roman"/>
          <w:szCs w:val="21"/>
        </w:rPr>
      </w:pPr>
    </w:p>
    <w:p w14:paraId="51A322C9">
      <w:pPr>
        <w:snapToGrid w:val="0"/>
        <w:spacing w:line="440" w:lineRule="exact"/>
        <w:rPr>
          <w:rFonts w:ascii="Times New Roman" w:hAnsi="Times New Roman" w:cs="Times New Roman"/>
          <w:szCs w:val="21"/>
        </w:rPr>
        <w:sectPr>
          <w:footerReference r:id="rId4" w:type="default"/>
          <w:pgSz w:w="11906" w:h="16838"/>
          <w:pgMar w:top="1440" w:right="1274" w:bottom="1440" w:left="1276" w:header="851" w:footer="992" w:gutter="0"/>
          <w:cols w:space="425" w:num="1"/>
          <w:docGrid w:type="lines" w:linePitch="312" w:charSpace="0"/>
        </w:sectPr>
      </w:pPr>
    </w:p>
    <w:p w14:paraId="70C53774">
      <w:pPr>
        <w:pStyle w:val="2"/>
        <w:numPr>
          <w:ilvl w:val="0"/>
          <w:numId w:val="0"/>
        </w:numPr>
        <w:spacing w:before="312" w:after="312"/>
        <w:jc w:val="center"/>
        <w:rPr>
          <w:rFonts w:ascii="Times New Roman" w:hAnsi="Times New Roman" w:eastAsia="宋体" w:cs="Times New Roman"/>
        </w:rPr>
      </w:pPr>
      <w:r>
        <w:rPr>
          <w:rFonts w:hint="eastAsia" w:ascii="Times New Roman" w:hAnsi="Times New Roman" w:eastAsia="宋体" w:cs="Times New Roman"/>
          <w:lang w:val="en-US" w:eastAsia="zh-CN"/>
        </w:rPr>
        <w:t xml:space="preserve">第五章  </w:t>
      </w:r>
      <w:r>
        <w:rPr>
          <w:rFonts w:ascii="Times New Roman" w:hAnsi="Times New Roman" w:eastAsia="宋体" w:cs="Times New Roman"/>
        </w:rPr>
        <w:t>采购清单</w:t>
      </w:r>
      <w:r>
        <w:rPr>
          <w:rFonts w:hint="eastAsia" w:ascii="Times New Roman" w:hAnsi="Times New Roman" w:eastAsia="宋体" w:cs="Times New Roman"/>
          <w:lang w:eastAsia="zh-CN"/>
        </w:rPr>
        <w:t>、平面布置图</w:t>
      </w:r>
    </w:p>
    <w:tbl>
      <w:tblPr>
        <w:tblStyle w:val="16"/>
        <w:tblpPr w:leftFromText="180" w:rightFromText="180" w:vertAnchor="text" w:horzAnchor="page" w:tblpX="667" w:tblpY="129"/>
        <w:tblOverlap w:val="never"/>
        <w:tblW w:w="551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4"/>
        <w:gridCol w:w="857"/>
        <w:gridCol w:w="1905"/>
        <w:gridCol w:w="5779"/>
        <w:gridCol w:w="4150"/>
        <w:gridCol w:w="744"/>
        <w:gridCol w:w="813"/>
        <w:gridCol w:w="745"/>
      </w:tblGrid>
      <w:tr w14:paraId="4E98A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3E4E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0B129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名称</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D41F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规格型号（mm）</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CC83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材质说明</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BDBE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图片</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7A15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颜色</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87D0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B500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r>
      <w:tr w14:paraId="45DFC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432F57C">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1"/>
                <w:szCs w:val="21"/>
                <w:u w:val="none"/>
                <w:lang w:val="en-US" w:eastAsia="zh-CN" w:bidi="ar"/>
              </w:rPr>
              <w:t>一层门厅</w:t>
            </w:r>
          </w:p>
        </w:tc>
      </w:tr>
      <w:tr w14:paraId="597AE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96"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1F6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D11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沙发</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FB6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W2380*D940*H690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5356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1、面   料：采用优质西皮覆面，经筛选和特殊处理，具有虻孔少、皮质细腻、透气性能好、耐腐蚀等特点，长时间使用，不松弛，无断裂。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2、海   绵：采用高密度PU成型发海绵、及高密度裁切发海绵，反复坐压，不变形、不塌陷，防火性能优，阻燃性能良好。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3、弹   簧：高弹性蛇形弹簧及强力织带橡筋，蛇簧加载20000次无损。</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4、脚   架：钢制脚架。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9915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198120</wp:posOffset>
                  </wp:positionH>
                  <wp:positionV relativeFrom="paragraph">
                    <wp:posOffset>-58420</wp:posOffset>
                  </wp:positionV>
                  <wp:extent cx="2067560" cy="950595"/>
                  <wp:effectExtent l="0" t="0" r="8890" b="1905"/>
                  <wp:wrapNone/>
                  <wp:docPr id="62" name="图片_25"/>
                  <wp:cNvGraphicFramePr/>
                  <a:graphic xmlns:a="http://schemas.openxmlformats.org/drawingml/2006/main">
                    <a:graphicData uri="http://schemas.openxmlformats.org/drawingml/2006/picture">
                      <pic:pic xmlns:pic="http://schemas.openxmlformats.org/drawingml/2006/picture">
                        <pic:nvPicPr>
                          <pic:cNvPr id="62" name="图片_25"/>
                          <pic:cNvPicPr/>
                        </pic:nvPicPr>
                        <pic:blipFill>
                          <a:blip r:embed="rId6"/>
                          <a:stretch>
                            <a:fillRect/>
                          </a:stretch>
                        </pic:blipFill>
                        <pic:spPr>
                          <a:xfrm>
                            <a:off x="0" y="0"/>
                            <a:ext cx="2067560" cy="95059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CEE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813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0E6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r>
      <w:tr w14:paraId="5C727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8"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C20D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C1A4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茶几</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082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W1300*D700*H400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E3C98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1、材  质：采用环保岩板、宜清洗、防划痕，承重力强，尺寸稳定性好。强度高、刚性好、不变形，各种物理、化学性能指标均达到国家相关标准。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2、钢 脚：黑色喷涂钢架。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12A9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244475</wp:posOffset>
                  </wp:positionH>
                  <wp:positionV relativeFrom="paragraph">
                    <wp:posOffset>51435</wp:posOffset>
                  </wp:positionV>
                  <wp:extent cx="2034540" cy="909320"/>
                  <wp:effectExtent l="0" t="0" r="3810" b="5080"/>
                  <wp:wrapNone/>
                  <wp:docPr id="61" name="图片_17"/>
                  <wp:cNvGraphicFramePr/>
                  <a:graphic xmlns:a="http://schemas.openxmlformats.org/drawingml/2006/main">
                    <a:graphicData uri="http://schemas.openxmlformats.org/drawingml/2006/picture">
                      <pic:pic xmlns:pic="http://schemas.openxmlformats.org/drawingml/2006/picture">
                        <pic:nvPicPr>
                          <pic:cNvPr id="61" name="图片_17"/>
                          <pic:cNvPicPr/>
                        </pic:nvPicPr>
                        <pic:blipFill>
                          <a:blip r:embed="rId7"/>
                          <a:stretch>
                            <a:fillRect/>
                          </a:stretch>
                        </pic:blipFill>
                        <pic:spPr>
                          <a:xfrm>
                            <a:off x="0" y="0"/>
                            <a:ext cx="2034540" cy="909320"/>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DA52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1AB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37CF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r>
      <w:tr w14:paraId="64C3F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7E3598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一层大会议室</w:t>
            </w:r>
          </w:p>
        </w:tc>
      </w:tr>
      <w:tr w14:paraId="2CD31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77"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17B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E81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会议桌</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FEC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W10000*D2400*H760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841A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1、贴面用材：优质一级0.6mm厚天然木皮贴面，经过防虫防腐处理，耐磨性好，纹理清晰自然，色泽一致，实木封边。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2、基   材：优质环保中密度纤维板，经过耐酸碱、防虫、防腐处理，含水率达到国家标准，抗弯力强，不易变形。各种物理、化学性能指标均达到国家相关标准。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3、油   漆：优质水性油漆，引用先进油漆工艺，五底三面，透明度高、附着力强，涂层亮度均匀不褪色，色泽柔和，手感良好。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4、配   件：优质五金配件。</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5、备   注：桌面配置二个多媒体多功能插座。</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EF2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65405</wp:posOffset>
                  </wp:positionH>
                  <wp:positionV relativeFrom="paragraph">
                    <wp:posOffset>18415</wp:posOffset>
                  </wp:positionV>
                  <wp:extent cx="2303145" cy="1443990"/>
                  <wp:effectExtent l="0" t="0" r="1905" b="3810"/>
                  <wp:wrapNone/>
                  <wp:docPr id="60" name="图片_1"/>
                  <wp:cNvGraphicFramePr/>
                  <a:graphic xmlns:a="http://schemas.openxmlformats.org/drawingml/2006/main">
                    <a:graphicData uri="http://schemas.openxmlformats.org/drawingml/2006/picture">
                      <pic:pic xmlns:pic="http://schemas.openxmlformats.org/drawingml/2006/picture">
                        <pic:nvPicPr>
                          <pic:cNvPr id="60" name="图片_1"/>
                          <pic:cNvPicPr/>
                        </pic:nvPicPr>
                        <pic:blipFill>
                          <a:blip r:embed="rId8"/>
                          <a:stretch>
                            <a:fillRect/>
                          </a:stretch>
                        </pic:blipFill>
                        <pic:spPr>
                          <a:xfrm>
                            <a:off x="0" y="0"/>
                            <a:ext cx="2303145" cy="1443990"/>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536B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B31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920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r>
      <w:tr w14:paraId="52CAC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9"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626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D5B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会议条桌</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977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W1400*D550*H760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289E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1、贴面用材：优质一级0.6mm厚天然木皮贴面，经过防虫防腐处理，耐磨性好，纹理清晰自然，色泽一致，实木封边。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2、基   材：优质环保中密度纤维板，经过耐酸碱、防虫、防腐处理，含水率达到国家标准，抗弯力强，不易变形。各种物理、化学性能指标均达到国家相关标准。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3、油   漆：优质水性油漆，引用先进油漆工艺，五底三面，透明度高、附着力强，涂层亮度均匀不褪色，色泽柔和，手感良好。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4、配   件：优质五金配件。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C8C1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249555</wp:posOffset>
                  </wp:positionH>
                  <wp:positionV relativeFrom="paragraph">
                    <wp:posOffset>-62865</wp:posOffset>
                  </wp:positionV>
                  <wp:extent cx="1925955" cy="1495425"/>
                  <wp:effectExtent l="0" t="0" r="17145" b="9525"/>
                  <wp:wrapNone/>
                  <wp:docPr id="63" name="图片_19"/>
                  <wp:cNvGraphicFramePr/>
                  <a:graphic xmlns:a="http://schemas.openxmlformats.org/drawingml/2006/main">
                    <a:graphicData uri="http://schemas.openxmlformats.org/drawingml/2006/picture">
                      <pic:pic xmlns:pic="http://schemas.openxmlformats.org/drawingml/2006/picture">
                        <pic:nvPicPr>
                          <pic:cNvPr id="63" name="图片_19"/>
                          <pic:cNvPicPr/>
                        </pic:nvPicPr>
                        <pic:blipFill>
                          <a:blip r:embed="rId9"/>
                          <a:stretch>
                            <a:fillRect/>
                          </a:stretch>
                        </pic:blipFill>
                        <pic:spPr>
                          <a:xfrm>
                            <a:off x="0" y="0"/>
                            <a:ext cx="1925955" cy="149542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2E78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B26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621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14</w:t>
            </w:r>
          </w:p>
        </w:tc>
      </w:tr>
      <w:tr w14:paraId="1CF0B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2DB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426F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会议椅</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A75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中背</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02CA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1、面    料：采用优质西皮覆面，经筛选和特殊处理，具有虻孔少、皮质细腻、透气性能好、耐腐蚀等特点，长时间使用，不松弛，无断裂。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2、海    绵：采用高密度PU成型发海绵、及高密度裁切发海绵，反复坐压，不变形、不塌陷，防火性能优，阻燃性能良好。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3、脚    架：钢制脚架，强度高、韧性好。</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000B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824230</wp:posOffset>
                  </wp:positionH>
                  <wp:positionV relativeFrom="paragraph">
                    <wp:posOffset>55245</wp:posOffset>
                  </wp:positionV>
                  <wp:extent cx="1215390" cy="1499235"/>
                  <wp:effectExtent l="0" t="0" r="0" b="5715"/>
                  <wp:wrapNone/>
                  <wp:docPr id="59" name="图片_2"/>
                  <wp:cNvGraphicFramePr/>
                  <a:graphic xmlns:a="http://schemas.openxmlformats.org/drawingml/2006/main">
                    <a:graphicData uri="http://schemas.openxmlformats.org/drawingml/2006/picture">
                      <pic:pic xmlns:pic="http://schemas.openxmlformats.org/drawingml/2006/picture">
                        <pic:nvPicPr>
                          <pic:cNvPr id="59" name="图片_2"/>
                          <pic:cNvPicPr/>
                        </pic:nvPicPr>
                        <pic:blipFill>
                          <a:blip r:embed="rId10"/>
                          <a:stretch>
                            <a:fillRect/>
                          </a:stretch>
                        </pic:blipFill>
                        <pic:spPr>
                          <a:xfrm>
                            <a:off x="0" y="0"/>
                            <a:ext cx="1215390" cy="149923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6CD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947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F81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55</w:t>
            </w:r>
          </w:p>
        </w:tc>
      </w:tr>
      <w:tr w14:paraId="18B27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6C9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4</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F19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茶水柜</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F829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W1200*D400*H860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FF5EF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1、贴面用材：优质一级0.6mm厚天然木皮贴面，经过防虫防腐处理，耐磨性好，纹理清晰自然，色泽一致，实木封边。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2、基    材：优质环保中密度纤维板，经过耐酸碱、防虫、防腐处理，含水率达到国家标准，抗弯力强，不易变形。各种物理、化学性能指标均达到国家相关标准。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3、油    漆：优质水性油漆，引用先进油漆工艺，五底三面，透明度高、附着力强，涂层亮度均匀不褪色，色泽柔和，手感良好。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4、配    件：优质五金配件。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43C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589280</wp:posOffset>
                  </wp:positionH>
                  <wp:positionV relativeFrom="paragraph">
                    <wp:posOffset>186690</wp:posOffset>
                  </wp:positionV>
                  <wp:extent cx="1513205" cy="1224280"/>
                  <wp:effectExtent l="0" t="0" r="10795" b="13970"/>
                  <wp:wrapNone/>
                  <wp:docPr id="51" name="图片_19_SpCnt_1"/>
                  <wp:cNvGraphicFramePr/>
                  <a:graphic xmlns:a="http://schemas.openxmlformats.org/drawingml/2006/main">
                    <a:graphicData uri="http://schemas.openxmlformats.org/drawingml/2006/picture">
                      <pic:pic xmlns:pic="http://schemas.openxmlformats.org/drawingml/2006/picture">
                        <pic:nvPicPr>
                          <pic:cNvPr id="51" name="图片_19_SpCnt_1"/>
                          <pic:cNvPicPr/>
                        </pic:nvPicPr>
                        <pic:blipFill>
                          <a:blip r:embed="rId11"/>
                          <a:stretch>
                            <a:fillRect/>
                          </a:stretch>
                        </pic:blipFill>
                        <pic:spPr>
                          <a:xfrm>
                            <a:off x="0" y="0"/>
                            <a:ext cx="1513205" cy="1224280"/>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906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B66C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D401F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r>
      <w:tr w14:paraId="123893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8A475D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一层视频会议室</w:t>
            </w:r>
          </w:p>
        </w:tc>
      </w:tr>
      <w:tr w14:paraId="77673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14B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A93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会议条桌</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362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W1200*D550*H760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31E94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1、基  材：采用优质环保刨花板，三聚氰胺浸纸饰面，宜清洗、防划痕，承重力强，尺寸稳定性好。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2、工  艺：所有板件均双贴面、封四边，所有外部封边采用与板材颜色、纹理配套的优质激光封边条封边。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3、胶粘剂：采用优质胶粘剂。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4、脚  架：钢制脚架，带万向轮，壁厚大于2mm，强度高、韧性好。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5、备  注：配有钢制下挂档板，配钢制桌架可折叠，含书网。</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6B9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117475</wp:posOffset>
                  </wp:positionH>
                  <wp:positionV relativeFrom="paragraph">
                    <wp:posOffset>118745</wp:posOffset>
                  </wp:positionV>
                  <wp:extent cx="2275205" cy="994410"/>
                  <wp:effectExtent l="0" t="0" r="10795" b="15240"/>
                  <wp:wrapNone/>
                  <wp:docPr id="52" name="图片_12"/>
                  <wp:cNvGraphicFramePr/>
                  <a:graphic xmlns:a="http://schemas.openxmlformats.org/drawingml/2006/main">
                    <a:graphicData uri="http://schemas.openxmlformats.org/drawingml/2006/picture">
                      <pic:pic xmlns:pic="http://schemas.openxmlformats.org/drawingml/2006/picture">
                        <pic:nvPicPr>
                          <pic:cNvPr id="52" name="图片_12"/>
                          <pic:cNvPicPr/>
                        </pic:nvPicPr>
                        <pic:blipFill>
                          <a:blip r:embed="rId12"/>
                          <a:stretch>
                            <a:fillRect/>
                          </a:stretch>
                        </pic:blipFill>
                        <pic:spPr>
                          <a:xfrm>
                            <a:off x="0" y="0"/>
                            <a:ext cx="2275205" cy="994410"/>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BD1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2505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C4D2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w:t>
            </w:r>
          </w:p>
        </w:tc>
      </w:tr>
      <w:tr w14:paraId="00B95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FEF2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884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会议椅</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F0A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中背</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D4D7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1、面    料：采用家具专业阻燃布艺，耐磨性强，并进行防火耐污处理。椅背为网状面料，弹性好、拉力强、透气性好，长时间使用，不松弛，无断裂。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2、海   绵：采用高密度PU成型发海绵、及高密度裁切发海绵，反复坐压，不变形、不塌陷，防火性能优，阻燃性能良好。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3、脚    架：钢制脚架、带塑料脚垫。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4、备    注：椅背为活动椅背，可折叠。</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DF8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777875</wp:posOffset>
                  </wp:positionH>
                  <wp:positionV relativeFrom="paragraph">
                    <wp:posOffset>83185</wp:posOffset>
                  </wp:positionV>
                  <wp:extent cx="1268730" cy="1463675"/>
                  <wp:effectExtent l="0" t="0" r="0" b="0"/>
                  <wp:wrapNone/>
                  <wp:docPr id="53" name="图片_29"/>
                  <wp:cNvGraphicFramePr/>
                  <a:graphic xmlns:a="http://schemas.openxmlformats.org/drawingml/2006/main">
                    <a:graphicData uri="http://schemas.openxmlformats.org/drawingml/2006/picture">
                      <pic:pic xmlns:pic="http://schemas.openxmlformats.org/drawingml/2006/picture">
                        <pic:nvPicPr>
                          <pic:cNvPr id="53" name="图片_29"/>
                          <pic:cNvPicPr/>
                        </pic:nvPicPr>
                        <pic:blipFill>
                          <a:blip r:embed="rId13"/>
                          <a:stretch>
                            <a:fillRect/>
                          </a:stretch>
                        </pic:blipFill>
                        <pic:spPr>
                          <a:xfrm>
                            <a:off x="0" y="0"/>
                            <a:ext cx="1268730" cy="146367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11A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F99C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2FC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40</w:t>
            </w:r>
          </w:p>
        </w:tc>
      </w:tr>
      <w:tr w14:paraId="044EC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B503FF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一层接待室</w:t>
            </w:r>
          </w:p>
        </w:tc>
      </w:tr>
      <w:tr w14:paraId="644C2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6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D69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6D2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接待沙发</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AE8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单人位</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AF8A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1、面    料：采用优质西皮覆面，经筛选和特殊处理，具有虻孔少、皮质细腻、透气性能好、耐腐蚀等特点，长时间使用，不松弛，无断裂。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2、泡    绵：采用高密度PU成型发泡泡棉、及高密度裁切发泡泡棉，反复坐压，不变形、不塌陷，防火性能优，阻燃性能良好。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3、弹    簧：高弹性蛇形弹簧及强力织带橡筋，使用寿命长。</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4、脚    架：钢制脚架。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9752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591185</wp:posOffset>
                  </wp:positionH>
                  <wp:positionV relativeFrom="paragraph">
                    <wp:posOffset>45085</wp:posOffset>
                  </wp:positionV>
                  <wp:extent cx="1403985" cy="1186180"/>
                  <wp:effectExtent l="0" t="0" r="5715" b="13970"/>
                  <wp:wrapNone/>
                  <wp:docPr id="54" name="图片_16"/>
                  <wp:cNvGraphicFramePr/>
                  <a:graphic xmlns:a="http://schemas.openxmlformats.org/drawingml/2006/main">
                    <a:graphicData uri="http://schemas.openxmlformats.org/drawingml/2006/picture">
                      <pic:pic xmlns:pic="http://schemas.openxmlformats.org/drawingml/2006/picture">
                        <pic:nvPicPr>
                          <pic:cNvPr id="54" name="图片_16"/>
                          <pic:cNvPicPr/>
                        </pic:nvPicPr>
                        <pic:blipFill>
                          <a:blip r:embed="rId14"/>
                          <a:stretch>
                            <a:fillRect/>
                          </a:stretch>
                        </pic:blipFill>
                        <pic:spPr>
                          <a:xfrm>
                            <a:off x="0" y="0"/>
                            <a:ext cx="1403985" cy="1186180"/>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281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521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2BA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8</w:t>
            </w:r>
          </w:p>
        </w:tc>
      </w:tr>
      <w:tr w14:paraId="69CC5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0" w:hRule="atLeast"/>
        </w:trPr>
        <w:tc>
          <w:tcPr>
            <w:tcW w:w="206" w:type="pct"/>
            <w:tcBorders>
              <w:top w:val="single" w:color="000000" w:sz="4" w:space="0"/>
              <w:left w:val="single" w:color="000000" w:sz="4" w:space="0"/>
              <w:bottom w:val="nil"/>
              <w:right w:val="single" w:color="000000" w:sz="4" w:space="0"/>
            </w:tcBorders>
            <w:shd w:val="clear" w:color="auto" w:fill="auto"/>
            <w:vAlign w:val="center"/>
          </w:tcPr>
          <w:p w14:paraId="32425B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274" w:type="pct"/>
            <w:tcBorders>
              <w:top w:val="single" w:color="000000" w:sz="4" w:space="0"/>
              <w:left w:val="single" w:color="000000" w:sz="4" w:space="0"/>
              <w:bottom w:val="nil"/>
              <w:right w:val="single" w:color="000000" w:sz="4" w:space="0"/>
            </w:tcBorders>
            <w:shd w:val="clear" w:color="auto" w:fill="auto"/>
            <w:vAlign w:val="center"/>
          </w:tcPr>
          <w:p w14:paraId="60177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茶几</w:t>
            </w:r>
          </w:p>
        </w:tc>
        <w:tc>
          <w:tcPr>
            <w:tcW w:w="609" w:type="pct"/>
            <w:tcBorders>
              <w:top w:val="single" w:color="000000" w:sz="4" w:space="0"/>
              <w:left w:val="single" w:color="000000" w:sz="4" w:space="0"/>
              <w:bottom w:val="nil"/>
              <w:right w:val="single" w:color="000000" w:sz="4" w:space="0"/>
            </w:tcBorders>
            <w:shd w:val="clear" w:color="auto" w:fill="auto"/>
            <w:vAlign w:val="center"/>
          </w:tcPr>
          <w:p w14:paraId="3907E2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600W*400D*560H</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C8D0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1、贴面用材：优质一级0.6mm厚天然木皮贴面，经过防虫防腐处理，耐磨性好，纹理清晰自然，色泽一致，实木封边。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2、基    材：优质环保中密度纤维板，经过耐酸碱、防虫、防腐处理，含水率达到国家标准，抗弯力强，不易变形。各种物理、化学性能指标均达到国家相关标准；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3、油    漆：优质水性油漆，引用先进油漆工艺，五底三面，透明度高、附着力强，涂层亮度均匀不褪色，色泽柔和，手感良好。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4、脚    架：钢制脚架。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84BE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760095</wp:posOffset>
                  </wp:positionH>
                  <wp:positionV relativeFrom="paragraph">
                    <wp:posOffset>169545</wp:posOffset>
                  </wp:positionV>
                  <wp:extent cx="1299210" cy="1103630"/>
                  <wp:effectExtent l="0" t="0" r="15240" b="1270"/>
                  <wp:wrapNone/>
                  <wp:docPr id="55" name="图片_20"/>
                  <wp:cNvGraphicFramePr/>
                  <a:graphic xmlns:a="http://schemas.openxmlformats.org/drawingml/2006/main">
                    <a:graphicData uri="http://schemas.openxmlformats.org/drawingml/2006/picture">
                      <pic:pic xmlns:pic="http://schemas.openxmlformats.org/drawingml/2006/picture">
                        <pic:nvPicPr>
                          <pic:cNvPr id="55" name="图片_20"/>
                          <pic:cNvPicPr/>
                        </pic:nvPicPr>
                        <pic:blipFill>
                          <a:blip r:embed="rId15"/>
                          <a:stretch>
                            <a:fillRect/>
                          </a:stretch>
                        </pic:blipFill>
                        <pic:spPr>
                          <a:xfrm>
                            <a:off x="0" y="0"/>
                            <a:ext cx="1299210" cy="1103630"/>
                          </a:xfrm>
                          <a:prstGeom prst="rect">
                            <a:avLst/>
                          </a:prstGeom>
                          <a:noFill/>
                          <a:ln>
                            <a:noFill/>
                          </a:ln>
                        </pic:spPr>
                      </pic:pic>
                    </a:graphicData>
                  </a:graphic>
                </wp:anchor>
              </w:drawing>
            </w:r>
          </w:p>
        </w:tc>
        <w:tc>
          <w:tcPr>
            <w:tcW w:w="238" w:type="pct"/>
            <w:tcBorders>
              <w:top w:val="single" w:color="000000" w:sz="4" w:space="0"/>
              <w:left w:val="single" w:color="000000" w:sz="4" w:space="0"/>
              <w:bottom w:val="nil"/>
              <w:right w:val="single" w:color="000000" w:sz="4" w:space="0"/>
            </w:tcBorders>
            <w:shd w:val="clear" w:color="auto" w:fill="auto"/>
            <w:vAlign w:val="center"/>
          </w:tcPr>
          <w:p w14:paraId="6B51739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nil"/>
              <w:right w:val="single" w:color="000000" w:sz="4" w:space="0"/>
            </w:tcBorders>
            <w:shd w:val="clear" w:color="auto" w:fill="auto"/>
            <w:vAlign w:val="center"/>
          </w:tcPr>
          <w:p w14:paraId="746241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nil"/>
              <w:right w:val="single" w:color="000000" w:sz="4" w:space="0"/>
            </w:tcBorders>
            <w:shd w:val="clear" w:color="auto" w:fill="auto"/>
            <w:vAlign w:val="center"/>
          </w:tcPr>
          <w:p w14:paraId="03B61A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5</w:t>
            </w:r>
          </w:p>
        </w:tc>
      </w:tr>
      <w:tr w14:paraId="790E2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5"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99A4E6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三层多功能厅</w:t>
            </w:r>
          </w:p>
        </w:tc>
      </w:tr>
      <w:tr w14:paraId="36627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7"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683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936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演讲台</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57F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W800*D600*H1150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2451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1、贴面用材：优质一级0.6mm厚天然木皮贴面，经过防虫防腐处理，耐磨性好，纹理清晰自然，色泽一致，实木封边。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2、基    材：优质环保中密度纤维板，经过耐酸碱、防虫、防腐处理，含水率达到国家标准，抗弯力强，不易变形。各种物理、化学性能指标均达到国家相关标准。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3、油    漆：优质水性油漆，引用先进油漆工艺，五底三面，透明度高、附着力强，涂层亮度均匀不褪色，色泽柔和，手感良好。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4、配    件：优质五金配件。</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FBE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796290</wp:posOffset>
                  </wp:positionH>
                  <wp:positionV relativeFrom="paragraph">
                    <wp:posOffset>59055</wp:posOffset>
                  </wp:positionV>
                  <wp:extent cx="1125855" cy="1406525"/>
                  <wp:effectExtent l="0" t="0" r="17145" b="3175"/>
                  <wp:wrapNone/>
                  <wp:docPr id="56" name="图片_1937"/>
                  <wp:cNvGraphicFramePr/>
                  <a:graphic xmlns:a="http://schemas.openxmlformats.org/drawingml/2006/main">
                    <a:graphicData uri="http://schemas.openxmlformats.org/drawingml/2006/picture">
                      <pic:pic xmlns:pic="http://schemas.openxmlformats.org/drawingml/2006/picture">
                        <pic:nvPicPr>
                          <pic:cNvPr id="56" name="图片_1937"/>
                          <pic:cNvPicPr/>
                        </pic:nvPicPr>
                        <pic:blipFill>
                          <a:blip r:embed="rId16"/>
                          <a:stretch>
                            <a:fillRect/>
                          </a:stretch>
                        </pic:blipFill>
                        <pic:spPr>
                          <a:xfrm>
                            <a:off x="0" y="0"/>
                            <a:ext cx="1125855" cy="140652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508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2CD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C2CF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r>
      <w:tr w14:paraId="1F747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F1F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133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主席台</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DF5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W5600*D600*H760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C9CB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1、贴面用材：优质一级0.6mm厚天然木皮贴面，经过防虫防腐处理，耐磨性好，纹理清晰自然，色泽一致，实木封边。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2、基    材：优质环保中密度纤维板，经过耐酸碱、防虫、防腐处理，含水率达到国家标准，抗弯力强，不易变形。各种物理、化学性能指标均达到国家相关标准。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3、油    漆：优质水性油漆，引用先进油漆工艺，五底三面，透明度高、附着力强，涂层亮度均匀不褪色，色泽柔和，手感良好。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4、配    件：优质五金配件。</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D8E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306070</wp:posOffset>
                  </wp:positionH>
                  <wp:positionV relativeFrom="paragraph">
                    <wp:posOffset>98425</wp:posOffset>
                  </wp:positionV>
                  <wp:extent cx="2050415" cy="1593215"/>
                  <wp:effectExtent l="0" t="0" r="6985" b="6985"/>
                  <wp:wrapNone/>
                  <wp:docPr id="57" name="图片_4"/>
                  <wp:cNvGraphicFramePr/>
                  <a:graphic xmlns:a="http://schemas.openxmlformats.org/drawingml/2006/main">
                    <a:graphicData uri="http://schemas.openxmlformats.org/drawingml/2006/picture">
                      <pic:pic xmlns:pic="http://schemas.openxmlformats.org/drawingml/2006/picture">
                        <pic:nvPicPr>
                          <pic:cNvPr id="57" name="图片_4"/>
                          <pic:cNvPicPr/>
                        </pic:nvPicPr>
                        <pic:blipFill>
                          <a:blip r:embed="rId17"/>
                          <a:stretch>
                            <a:fillRect/>
                          </a:stretch>
                        </pic:blipFill>
                        <pic:spPr>
                          <a:xfrm>
                            <a:off x="0" y="0"/>
                            <a:ext cx="2050415" cy="159321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C6517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369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607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r>
      <w:tr w14:paraId="1A9A4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6E3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008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会议椅</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EEFB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高背</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BFB4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1、面    料：采用优质西皮覆面，经筛选和特殊处理，具有虻孔少、皮质细腻、透气性能好、耐腐蚀等特点，长时间使用，不松弛，无断裂。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2、海    绵：采用高密度PU成型发海绵、及高密度裁切发海绵，反复坐压，不变形、不塌陷，防火性能优，阻燃性能良好。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3、脚    架：实木脚架。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1B88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987425</wp:posOffset>
                  </wp:positionH>
                  <wp:positionV relativeFrom="paragraph">
                    <wp:posOffset>65405</wp:posOffset>
                  </wp:positionV>
                  <wp:extent cx="1282065" cy="1570355"/>
                  <wp:effectExtent l="0" t="0" r="13335" b="10795"/>
                  <wp:wrapNone/>
                  <wp:docPr id="58" name="图片_5"/>
                  <wp:cNvGraphicFramePr/>
                  <a:graphic xmlns:a="http://schemas.openxmlformats.org/drawingml/2006/main">
                    <a:graphicData uri="http://schemas.openxmlformats.org/drawingml/2006/picture">
                      <pic:pic xmlns:pic="http://schemas.openxmlformats.org/drawingml/2006/picture">
                        <pic:nvPicPr>
                          <pic:cNvPr id="58" name="图片_5"/>
                          <pic:cNvPicPr/>
                        </pic:nvPicPr>
                        <pic:blipFill>
                          <a:blip r:embed="rId18"/>
                          <a:stretch>
                            <a:fillRect/>
                          </a:stretch>
                        </pic:blipFill>
                        <pic:spPr>
                          <a:xfrm>
                            <a:off x="0" y="0"/>
                            <a:ext cx="1282065" cy="157035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D01E8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7DFF6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4B8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14</w:t>
            </w:r>
          </w:p>
        </w:tc>
      </w:tr>
      <w:tr w14:paraId="571B3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4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07B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4</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CDF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会议条桌</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0A4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W1200*D550*H760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3025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1、基  材：采用优质环保刨花板，三聚氰胺浸纸饰面，宜清洗、防划痕，承重力强，尺寸稳定性好。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2、工  艺：所有板件均双贴面、封四边，所有外部封边采用与板材颜色、纹理配套的优质激光封边条封边。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3、胶粘剂：采用优质胶粘剂。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4、脚  架：钢制脚架，带万向轮，壁厚大于2mm，强度高、韧性好。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5、备  注：配有钢制下挂档板，配钢制桌架可折叠，含书网。</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FCD8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119380</wp:posOffset>
                  </wp:positionH>
                  <wp:positionV relativeFrom="paragraph">
                    <wp:posOffset>10160</wp:posOffset>
                  </wp:positionV>
                  <wp:extent cx="2343785" cy="1024255"/>
                  <wp:effectExtent l="0" t="0" r="18415" b="4445"/>
                  <wp:wrapNone/>
                  <wp:docPr id="47" name="图片_13"/>
                  <wp:cNvGraphicFramePr/>
                  <a:graphic xmlns:a="http://schemas.openxmlformats.org/drawingml/2006/main">
                    <a:graphicData uri="http://schemas.openxmlformats.org/drawingml/2006/picture">
                      <pic:pic xmlns:pic="http://schemas.openxmlformats.org/drawingml/2006/picture">
                        <pic:nvPicPr>
                          <pic:cNvPr id="47" name="图片_13"/>
                          <pic:cNvPicPr/>
                        </pic:nvPicPr>
                        <pic:blipFill>
                          <a:blip r:embed="rId19"/>
                          <a:stretch>
                            <a:fillRect/>
                          </a:stretch>
                        </pic:blipFill>
                        <pic:spPr>
                          <a:xfrm>
                            <a:off x="0" y="0"/>
                            <a:ext cx="2343785" cy="102425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0AD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792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405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80</w:t>
            </w:r>
          </w:p>
        </w:tc>
      </w:tr>
      <w:tr w14:paraId="457BC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6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D738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5</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35F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会议椅</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B8E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中背</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EB80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1、面    料：采用家具专业阻燃布艺，耐磨性强，并进行防火耐污处理。椅背为网状面料，弹性好、拉力强、透气性好，长时间使用，不松弛，无断裂。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2、海   绵：采用高密度PU成型发海绵、及高密度裁切发海绵，反复坐压，不变形、不塌陷，防火性能优，阻燃性能良好。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3、脚    架：钢制脚架、带塑料脚垫。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4、备    注：椅背为活动椅背，可折叠。</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9D22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669290</wp:posOffset>
                  </wp:positionH>
                  <wp:positionV relativeFrom="paragraph">
                    <wp:posOffset>110490</wp:posOffset>
                  </wp:positionV>
                  <wp:extent cx="1268730" cy="1381125"/>
                  <wp:effectExtent l="0" t="0" r="0" b="0"/>
                  <wp:wrapNone/>
                  <wp:docPr id="48" name="图片_29_SpCnt_1"/>
                  <wp:cNvGraphicFramePr/>
                  <a:graphic xmlns:a="http://schemas.openxmlformats.org/drawingml/2006/main">
                    <a:graphicData uri="http://schemas.openxmlformats.org/drawingml/2006/picture">
                      <pic:pic xmlns:pic="http://schemas.openxmlformats.org/drawingml/2006/picture">
                        <pic:nvPicPr>
                          <pic:cNvPr id="48" name="图片_29_SpCnt_1"/>
                          <pic:cNvPicPr/>
                        </pic:nvPicPr>
                        <pic:blipFill>
                          <a:blip r:embed="rId20"/>
                          <a:stretch>
                            <a:fillRect/>
                          </a:stretch>
                        </pic:blipFill>
                        <pic:spPr>
                          <a:xfrm>
                            <a:off x="0" y="0"/>
                            <a:ext cx="1268730" cy="138112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CED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560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0A8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160</w:t>
            </w:r>
          </w:p>
        </w:tc>
      </w:tr>
      <w:tr w14:paraId="199B0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A4D2D5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三层休息室</w:t>
            </w:r>
          </w:p>
        </w:tc>
      </w:tr>
      <w:tr w14:paraId="3370A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5A5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6F8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沙发</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4EE9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W2380*D940*H690</w:t>
            </w:r>
          </w:p>
        </w:tc>
        <w:tc>
          <w:tcPr>
            <w:tcW w:w="1848" w:type="pct"/>
            <w:tcBorders>
              <w:top w:val="single" w:color="000000" w:sz="4" w:space="0"/>
              <w:left w:val="single" w:color="000000" w:sz="4" w:space="0"/>
              <w:bottom w:val="nil"/>
              <w:right w:val="single" w:color="000000" w:sz="4" w:space="0"/>
            </w:tcBorders>
            <w:shd w:val="clear" w:color="auto" w:fill="auto"/>
            <w:vAlign w:val="center"/>
          </w:tcPr>
          <w:p w14:paraId="653FED6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1、面   料：采用优质西皮覆面，经筛选和特殊处理，具有虻孔少、皮质细腻、透气性能好、耐腐蚀等特点，长时间使用，不松弛，无断裂。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2、海   绵：采用高密度PU成型发海绵、及高密度裁切发海绵，反复坐压，不变形、不塌陷，防火性能优，阻燃性能良好。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3、弹   簧：高弹性蛇形弹簧及强力织带橡筋，蛇簧加载20000次无损。</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4、脚   架：钢制脚架。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28AE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169545</wp:posOffset>
                  </wp:positionH>
                  <wp:positionV relativeFrom="paragraph">
                    <wp:posOffset>-5715</wp:posOffset>
                  </wp:positionV>
                  <wp:extent cx="2082165" cy="1022350"/>
                  <wp:effectExtent l="0" t="0" r="13335" b="6350"/>
                  <wp:wrapNone/>
                  <wp:docPr id="49" name="图片_10"/>
                  <wp:cNvGraphicFramePr/>
                  <a:graphic xmlns:a="http://schemas.openxmlformats.org/drawingml/2006/main">
                    <a:graphicData uri="http://schemas.openxmlformats.org/drawingml/2006/picture">
                      <pic:pic xmlns:pic="http://schemas.openxmlformats.org/drawingml/2006/picture">
                        <pic:nvPicPr>
                          <pic:cNvPr id="49" name="图片_10"/>
                          <pic:cNvPicPr/>
                        </pic:nvPicPr>
                        <pic:blipFill>
                          <a:blip r:embed="rId21"/>
                          <a:stretch>
                            <a:fillRect/>
                          </a:stretch>
                        </pic:blipFill>
                        <pic:spPr>
                          <a:xfrm>
                            <a:off x="0" y="0"/>
                            <a:ext cx="2082165" cy="1022350"/>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1F8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19A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F47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r>
      <w:tr w14:paraId="7392C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9"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55F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B80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沙发</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ED2E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W1030*D940*H690</w:t>
            </w:r>
          </w:p>
        </w:tc>
        <w:tc>
          <w:tcPr>
            <w:tcW w:w="1848" w:type="pct"/>
            <w:tcBorders>
              <w:top w:val="single" w:color="000000" w:sz="4" w:space="0"/>
              <w:left w:val="single" w:color="000000" w:sz="4" w:space="0"/>
              <w:bottom w:val="nil"/>
              <w:right w:val="single" w:color="000000" w:sz="4" w:space="0"/>
            </w:tcBorders>
            <w:shd w:val="clear" w:color="auto" w:fill="auto"/>
            <w:vAlign w:val="center"/>
          </w:tcPr>
          <w:p w14:paraId="18A95E4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1、面   料：采用优质西皮覆面，经筛选和特殊处理，具有虻孔少、皮质细腻、透气性能好、耐腐蚀等特点，长时间使用，不松弛，无断裂。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2、海   绵：采用高密度PU成型发海绵、及高密度裁切发海绵，反复坐压，不变形、不塌陷，防火性能优，阻燃性能良好。</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3、弹   簧：高弹性蛇形弹簧及强力织带橡筋，蛇簧加载20000次无损。</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4、脚   架：钢制脚架。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FE3A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534035</wp:posOffset>
                  </wp:positionH>
                  <wp:positionV relativeFrom="paragraph">
                    <wp:posOffset>78740</wp:posOffset>
                  </wp:positionV>
                  <wp:extent cx="1551305" cy="921385"/>
                  <wp:effectExtent l="0" t="0" r="10795" b="12065"/>
                  <wp:wrapNone/>
                  <wp:docPr id="50" name="图片_22"/>
                  <wp:cNvGraphicFramePr/>
                  <a:graphic xmlns:a="http://schemas.openxmlformats.org/drawingml/2006/main">
                    <a:graphicData uri="http://schemas.openxmlformats.org/drawingml/2006/picture">
                      <pic:pic xmlns:pic="http://schemas.openxmlformats.org/drawingml/2006/picture">
                        <pic:nvPicPr>
                          <pic:cNvPr id="50" name="图片_22"/>
                          <pic:cNvPicPr/>
                        </pic:nvPicPr>
                        <pic:blipFill>
                          <a:blip r:embed="rId22"/>
                          <a:stretch>
                            <a:fillRect/>
                          </a:stretch>
                        </pic:blipFill>
                        <pic:spPr>
                          <a:xfrm>
                            <a:off x="0" y="0"/>
                            <a:ext cx="1551305" cy="92138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FBF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98E1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2F9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r>
      <w:tr w14:paraId="57DFC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05"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581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3</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EDA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茶几</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61F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W1300*D700*H400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E3FD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1、材  质：采用环保岩板、宜清洗、防划痕，承重力强，尺寸稳定性好。强度高、刚性好、不变形，各种物理、化学性能指标均达到国家相关标准。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2、钢 脚：黑色喷涂钢架。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0E06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477520</wp:posOffset>
                  </wp:positionH>
                  <wp:positionV relativeFrom="paragraph">
                    <wp:posOffset>-635</wp:posOffset>
                  </wp:positionV>
                  <wp:extent cx="1642745" cy="894715"/>
                  <wp:effectExtent l="0" t="0" r="14605" b="635"/>
                  <wp:wrapNone/>
                  <wp:docPr id="64" name="图片_14"/>
                  <wp:cNvGraphicFramePr/>
                  <a:graphic xmlns:a="http://schemas.openxmlformats.org/drawingml/2006/main">
                    <a:graphicData uri="http://schemas.openxmlformats.org/drawingml/2006/picture">
                      <pic:pic xmlns:pic="http://schemas.openxmlformats.org/drawingml/2006/picture">
                        <pic:nvPicPr>
                          <pic:cNvPr id="64" name="图片_14"/>
                          <pic:cNvPicPr/>
                        </pic:nvPicPr>
                        <pic:blipFill>
                          <a:blip r:embed="rId23"/>
                          <a:stretch>
                            <a:fillRect/>
                          </a:stretch>
                        </pic:blipFill>
                        <pic:spPr>
                          <a:xfrm>
                            <a:off x="0" y="0"/>
                            <a:ext cx="1642745" cy="89471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3FF8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672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1F1C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r>
      <w:tr w14:paraId="0CD90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3"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DC3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4</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B32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茶几</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931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φ600*H550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547C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1、材  质：采用环保刨花板基材，三聚氰胺浸纸饰面，宜清洗、防划痕，承重力强，尺寸稳定性好。经防潮、防虫、防腐处理，强度高、刚性好、不变形，各种物理、化学性能指标均达到国家相关标准。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2、工  艺：所有板件均双贴面、封四边，所有外部封边采用与板材颜色、纹理配套的优质激光封边条封边。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3、胶粘剂：采用优质胶粘剂。</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4、脚  架：钢制脚架。</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3AAD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670560</wp:posOffset>
                  </wp:positionH>
                  <wp:positionV relativeFrom="paragraph">
                    <wp:posOffset>274320</wp:posOffset>
                  </wp:positionV>
                  <wp:extent cx="1235075" cy="904875"/>
                  <wp:effectExtent l="0" t="0" r="3175" b="9525"/>
                  <wp:wrapNone/>
                  <wp:docPr id="65" name="图片_15"/>
                  <wp:cNvGraphicFramePr/>
                  <a:graphic xmlns:a="http://schemas.openxmlformats.org/drawingml/2006/main">
                    <a:graphicData uri="http://schemas.openxmlformats.org/drawingml/2006/picture">
                      <pic:pic xmlns:pic="http://schemas.openxmlformats.org/drawingml/2006/picture">
                        <pic:nvPicPr>
                          <pic:cNvPr id="65" name="图片_15"/>
                          <pic:cNvPicPr/>
                        </pic:nvPicPr>
                        <pic:blipFill>
                          <a:blip r:embed="rId24"/>
                          <a:stretch>
                            <a:fillRect/>
                          </a:stretch>
                        </pic:blipFill>
                        <pic:spPr>
                          <a:xfrm>
                            <a:off x="0" y="0"/>
                            <a:ext cx="1235075" cy="90487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C86F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FF4B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D328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r>
      <w:tr w14:paraId="0C309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D113A5D">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员工区</w:t>
            </w:r>
          </w:p>
        </w:tc>
      </w:tr>
      <w:tr w14:paraId="7E022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7"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57F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47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屏风工作位（含钢制更衣柜+钢制活动柜+多媒体插座）</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6BC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W1600*D1600*H1200</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E6F9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1、全钢屏风：屏风厚度为30mm+60mm,可放置电路保护盒及线路套管。内任意走线,在内部走线保证强弱电有效分离（间距需达300mm）；</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2、覆面材料：横向为钢板+腰带+磨砂玻璃，纵向为钢板+腰带+钢板，且为全落地。</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3、贴    面：采用三聚氰胺贴面，具有宜清洗、防划痕等特点。</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4、基    材：品牌刨花板，绿色环保产品，甲醛释放量符合国标E1级标准。</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5、封    边：2mmPVC胶边，进口热溶胶。</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6、走    线：上下双路走线</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7、插   座：内置多媒体集成插座（含2个万能插、1个6类非屏蔽网络接口、1个电话接口、1个3.0USB接口）。</w:t>
            </w:r>
          </w:p>
        </w:tc>
        <w:tc>
          <w:tcPr>
            <w:tcW w:w="132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5884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389890</wp:posOffset>
                  </wp:positionH>
                  <wp:positionV relativeFrom="paragraph">
                    <wp:posOffset>1541780</wp:posOffset>
                  </wp:positionV>
                  <wp:extent cx="1695450" cy="487680"/>
                  <wp:effectExtent l="0" t="0" r="0" b="7620"/>
                  <wp:wrapNone/>
                  <wp:docPr id="66" name="图片_7"/>
                  <wp:cNvGraphicFramePr/>
                  <a:graphic xmlns:a="http://schemas.openxmlformats.org/drawingml/2006/main">
                    <a:graphicData uri="http://schemas.openxmlformats.org/drawingml/2006/picture">
                      <pic:pic xmlns:pic="http://schemas.openxmlformats.org/drawingml/2006/picture">
                        <pic:nvPicPr>
                          <pic:cNvPr id="66" name="图片_7"/>
                          <pic:cNvPicPr/>
                        </pic:nvPicPr>
                        <pic:blipFill>
                          <a:blip r:embed="rId25"/>
                          <a:stretch>
                            <a:fillRect/>
                          </a:stretch>
                        </pic:blipFill>
                        <pic:spPr>
                          <a:xfrm>
                            <a:off x="0" y="0"/>
                            <a:ext cx="1695450" cy="487680"/>
                          </a:xfrm>
                          <a:prstGeom prst="rect">
                            <a:avLst/>
                          </a:prstGeom>
                          <a:noFill/>
                          <a:ln>
                            <a:noFill/>
                          </a:ln>
                        </pic:spPr>
                      </pic:pic>
                    </a:graphicData>
                  </a:graphic>
                </wp:anchor>
              </w:drawing>
            </w: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142240</wp:posOffset>
                  </wp:positionH>
                  <wp:positionV relativeFrom="paragraph">
                    <wp:posOffset>70485</wp:posOffset>
                  </wp:positionV>
                  <wp:extent cx="2279015" cy="1268095"/>
                  <wp:effectExtent l="0" t="0" r="6985" b="8255"/>
                  <wp:wrapNone/>
                  <wp:docPr id="67" name="图片_18"/>
                  <wp:cNvGraphicFramePr/>
                  <a:graphic xmlns:a="http://schemas.openxmlformats.org/drawingml/2006/main">
                    <a:graphicData uri="http://schemas.openxmlformats.org/drawingml/2006/picture">
                      <pic:pic xmlns:pic="http://schemas.openxmlformats.org/drawingml/2006/picture">
                        <pic:nvPicPr>
                          <pic:cNvPr id="67" name="图片_18"/>
                          <pic:cNvPicPr/>
                        </pic:nvPicPr>
                        <pic:blipFill>
                          <a:blip r:embed="rId26"/>
                          <a:stretch>
                            <a:fillRect/>
                          </a:stretch>
                        </pic:blipFill>
                        <pic:spPr>
                          <a:xfrm>
                            <a:off x="0" y="0"/>
                            <a:ext cx="2279015" cy="1268095"/>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60A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55BB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E211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45</w:t>
            </w:r>
          </w:p>
        </w:tc>
      </w:tr>
      <w:tr w14:paraId="29254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0"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054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w:t>
            </w:r>
          </w:p>
        </w:tc>
        <w:tc>
          <w:tcPr>
            <w:tcW w:w="2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7B4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员工椅</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C69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高背</w:t>
            </w:r>
          </w:p>
        </w:tc>
        <w:tc>
          <w:tcPr>
            <w:tcW w:w="18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24A1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 xml:space="preserve">1、面    料：采用家具专业阻燃布艺，耐磨性强，并进行防火耐污处理。椅背为网状面料，弹性好、拉力强、透气性好，长时间使用，不松弛，无断裂。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2、机    构：采用优质前置同步倾仰锁定机构。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 3、气 压 棒：优质品牌气压棒，升降自如。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4、海    绵：采用高密度PU成型发海绵、及高密度裁切发海绵，反复坐压，不变形、不塌陷，防火性能优，阻燃性能良好。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5、脚    架：尼龙五星脚架。                                                              </w:t>
            </w:r>
            <w:r>
              <w:rPr>
                <w:rFonts w:hint="eastAsia" w:asciiTheme="minorEastAsia" w:hAnsiTheme="minorEastAsia" w:eastAsiaTheme="minorEastAsia" w:cstheme="minorEastAsia"/>
                <w:i w:val="0"/>
                <w:iCs w:val="0"/>
                <w:color w:val="000000"/>
                <w:kern w:val="0"/>
                <w:sz w:val="18"/>
                <w:szCs w:val="18"/>
                <w:u w:val="none"/>
                <w:lang w:val="en-US" w:eastAsia="zh-CN" w:bidi="ar"/>
              </w:rPr>
              <w:br w:type="textWrapping"/>
            </w:r>
            <w:r>
              <w:rPr>
                <w:rFonts w:hint="eastAsia" w:asciiTheme="minorEastAsia" w:hAnsiTheme="minorEastAsia" w:eastAsiaTheme="minorEastAsia" w:cstheme="minorEastAsia"/>
                <w:i w:val="0"/>
                <w:iCs w:val="0"/>
                <w:color w:val="000000"/>
                <w:kern w:val="0"/>
                <w:sz w:val="18"/>
                <w:szCs w:val="18"/>
                <w:u w:val="none"/>
                <w:lang w:val="en-US" w:eastAsia="zh-CN" w:bidi="ar"/>
              </w:rPr>
              <w:t>6、脚    轮：采用尼龙塑料加纤维制成，承载能力强、耐磨性能好、移动杂音小。</w:t>
            </w:r>
          </w:p>
        </w:tc>
        <w:tc>
          <w:tcPr>
            <w:tcW w:w="1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EE7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790575</wp:posOffset>
                  </wp:positionH>
                  <wp:positionV relativeFrom="paragraph">
                    <wp:posOffset>150495</wp:posOffset>
                  </wp:positionV>
                  <wp:extent cx="967105" cy="1590040"/>
                  <wp:effectExtent l="0" t="0" r="4445" b="10160"/>
                  <wp:wrapNone/>
                  <wp:docPr id="68" name="图片_11"/>
                  <wp:cNvGraphicFramePr/>
                  <a:graphic xmlns:a="http://schemas.openxmlformats.org/drawingml/2006/main">
                    <a:graphicData uri="http://schemas.openxmlformats.org/drawingml/2006/picture">
                      <pic:pic xmlns:pic="http://schemas.openxmlformats.org/drawingml/2006/picture">
                        <pic:nvPicPr>
                          <pic:cNvPr id="68" name="图片_11"/>
                          <pic:cNvPicPr/>
                        </pic:nvPicPr>
                        <pic:blipFill>
                          <a:blip r:embed="rId27"/>
                          <a:stretch>
                            <a:fillRect/>
                          </a:stretch>
                        </pic:blipFill>
                        <pic:spPr>
                          <a:xfrm>
                            <a:off x="0" y="0"/>
                            <a:ext cx="967105" cy="1590040"/>
                          </a:xfrm>
                          <a:prstGeom prst="rect">
                            <a:avLst/>
                          </a:prstGeom>
                          <a:noFill/>
                          <a:ln>
                            <a:noFill/>
                          </a:ln>
                        </pic:spPr>
                      </pic:pic>
                    </a:graphicData>
                  </a:graphic>
                </wp:anchor>
              </w:drawing>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666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可选</w:t>
            </w:r>
          </w:p>
        </w:tc>
        <w:tc>
          <w:tcPr>
            <w:tcW w:w="2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6E8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张</w:t>
            </w:r>
          </w:p>
        </w:tc>
        <w:tc>
          <w:tcPr>
            <w:tcW w:w="2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773F8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45</w:t>
            </w:r>
          </w:p>
        </w:tc>
      </w:tr>
    </w:tbl>
    <w:p w14:paraId="745A9402"/>
    <w:p w14:paraId="10C0A9E2">
      <w:pPr>
        <w:rPr>
          <w:rFonts w:ascii="Times New Roman" w:hAnsi="Times New Roman" w:cs="Times New Roman"/>
          <w:szCs w:val="21"/>
        </w:rPr>
      </w:pPr>
      <w:r>
        <w:rPr>
          <w:rFonts w:ascii="Times New Roman" w:hAnsi="Times New Roman" w:cs="Times New Roman"/>
          <w:szCs w:val="21"/>
        </w:rPr>
        <w:br w:type="page"/>
      </w:r>
    </w:p>
    <w:p w14:paraId="0C93CAD4">
      <w:pP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eastAsia="zh-CN"/>
        </w:rPr>
        <w:drawing>
          <wp:anchor distT="0" distB="0" distL="114300" distR="114300" simplePos="0" relativeHeight="251659264" behindDoc="1" locked="0" layoutInCell="1" allowOverlap="1">
            <wp:simplePos x="0" y="0"/>
            <wp:positionH relativeFrom="column">
              <wp:posOffset>-968375</wp:posOffset>
            </wp:positionH>
            <wp:positionV relativeFrom="page">
              <wp:posOffset>-49530</wp:posOffset>
            </wp:positionV>
            <wp:extent cx="10771505" cy="7624445"/>
            <wp:effectExtent l="0" t="0" r="10795" b="14605"/>
            <wp:wrapNone/>
            <wp:docPr id="3" name="图片 3" descr="综合楼平面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综合楼平面图_00"/>
                    <pic:cNvPicPr>
                      <a:picLocks noChangeAspect="1"/>
                    </pic:cNvPicPr>
                  </pic:nvPicPr>
                  <pic:blipFill>
                    <a:blip r:embed="rId28"/>
                    <a:stretch>
                      <a:fillRect/>
                    </a:stretch>
                  </pic:blipFill>
                  <pic:spPr>
                    <a:xfrm>
                      <a:off x="0" y="0"/>
                      <a:ext cx="10771505" cy="7624445"/>
                    </a:xfrm>
                    <a:prstGeom prst="rect">
                      <a:avLst/>
                    </a:prstGeom>
                  </pic:spPr>
                </pic:pic>
              </a:graphicData>
            </a:graphic>
          </wp:anchor>
        </w:drawing>
      </w:r>
      <w:r>
        <w:rPr>
          <w:rFonts w:ascii="Times New Roman" w:hAnsi="Times New Roman" w:cs="Times New Roman"/>
          <w:szCs w:val="21"/>
        </w:rPr>
        <w:br w:type="page"/>
      </w:r>
    </w:p>
    <w:p w14:paraId="1A65C3B3">
      <w:pP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eastAsia="zh-CN"/>
        </w:rPr>
        <w:drawing>
          <wp:anchor distT="0" distB="0" distL="114300" distR="114300" simplePos="0" relativeHeight="251661312" behindDoc="1" locked="0" layoutInCell="1" allowOverlap="1">
            <wp:simplePos x="0" y="0"/>
            <wp:positionH relativeFrom="column">
              <wp:posOffset>-1024255</wp:posOffset>
            </wp:positionH>
            <wp:positionV relativeFrom="page">
              <wp:posOffset>3810</wp:posOffset>
            </wp:positionV>
            <wp:extent cx="10711180" cy="7581265"/>
            <wp:effectExtent l="0" t="0" r="13970" b="635"/>
            <wp:wrapNone/>
            <wp:docPr id="4" name="图片 4" descr="综合楼平面图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综合楼平面图_01"/>
                    <pic:cNvPicPr>
                      <a:picLocks noChangeAspect="1"/>
                    </pic:cNvPicPr>
                  </pic:nvPicPr>
                  <pic:blipFill>
                    <a:blip r:embed="rId29"/>
                    <a:stretch>
                      <a:fillRect/>
                    </a:stretch>
                  </pic:blipFill>
                  <pic:spPr>
                    <a:xfrm>
                      <a:off x="0" y="0"/>
                      <a:ext cx="10711180" cy="7581265"/>
                    </a:xfrm>
                    <a:prstGeom prst="rect">
                      <a:avLst/>
                    </a:prstGeom>
                  </pic:spPr>
                </pic:pic>
              </a:graphicData>
            </a:graphic>
          </wp:anchor>
        </w:drawing>
      </w:r>
      <w:r>
        <w:rPr>
          <w:rFonts w:hint="eastAsia" w:ascii="Times New Roman" w:hAnsi="Times New Roman" w:cs="Times New Roman" w:eastAsiaTheme="minorEastAsia"/>
          <w:szCs w:val="21"/>
          <w:lang w:eastAsia="zh-CN"/>
        </w:rPr>
        <w:br w:type="page"/>
      </w:r>
    </w:p>
    <w:p w14:paraId="278D71AE">
      <w:pPr>
        <w:rPr>
          <w:rFonts w:hint="eastAsia" w:ascii="Times New Roman" w:hAnsi="Times New Roman" w:cs="Times New Roman" w:eastAsiaTheme="minorEastAsia"/>
          <w:szCs w:val="21"/>
          <w:lang w:eastAsia="zh-CN"/>
        </w:rPr>
      </w:pPr>
      <w:r>
        <w:rPr>
          <w:rFonts w:hint="eastAsia" w:ascii="Times New Roman" w:hAnsi="Times New Roman" w:cs="Times New Roman" w:eastAsiaTheme="minorEastAsia"/>
          <w:szCs w:val="21"/>
          <w:lang w:eastAsia="zh-CN"/>
        </w:rPr>
        <w:drawing>
          <wp:anchor distT="0" distB="0" distL="114300" distR="114300" simplePos="0" relativeHeight="251661312" behindDoc="0" locked="0" layoutInCell="1" allowOverlap="1">
            <wp:simplePos x="0" y="0"/>
            <wp:positionH relativeFrom="column">
              <wp:posOffset>-1043940</wp:posOffset>
            </wp:positionH>
            <wp:positionV relativeFrom="page">
              <wp:posOffset>-29210</wp:posOffset>
            </wp:positionV>
            <wp:extent cx="10890885" cy="7708265"/>
            <wp:effectExtent l="0" t="0" r="5715" b="6985"/>
            <wp:wrapNone/>
            <wp:docPr id="5" name="图片 5" descr="综合楼平面图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综合楼平面图_02"/>
                    <pic:cNvPicPr>
                      <a:picLocks noChangeAspect="1"/>
                    </pic:cNvPicPr>
                  </pic:nvPicPr>
                  <pic:blipFill>
                    <a:blip r:embed="rId30"/>
                    <a:stretch>
                      <a:fillRect/>
                    </a:stretch>
                  </pic:blipFill>
                  <pic:spPr>
                    <a:xfrm>
                      <a:off x="0" y="0"/>
                      <a:ext cx="10890885" cy="7708265"/>
                    </a:xfrm>
                    <a:prstGeom prst="rect">
                      <a:avLst/>
                    </a:prstGeom>
                  </pic:spPr>
                </pic:pic>
              </a:graphicData>
            </a:graphic>
          </wp:anchor>
        </w:drawing>
      </w:r>
      <w:r>
        <w:rPr>
          <w:rFonts w:hint="eastAsia" w:ascii="Times New Roman" w:hAnsi="Times New Roman" w:cs="Times New Roman" w:eastAsiaTheme="minorEastAsia"/>
          <w:szCs w:val="21"/>
          <w:lang w:eastAsia="zh-CN"/>
        </w:rPr>
        <w:br w:type="page"/>
      </w:r>
    </w:p>
    <w:p w14:paraId="4D6E2BFB">
      <w:pPr>
        <w:snapToGrid w:val="0"/>
        <w:spacing w:line="440" w:lineRule="exact"/>
        <w:rPr>
          <w:rFonts w:hint="eastAsia" w:ascii="Times New Roman" w:hAnsi="Times New Roman" w:cs="Times New Roman" w:eastAsiaTheme="minorEastAsia"/>
          <w:szCs w:val="21"/>
          <w:lang w:eastAsia="zh-CN"/>
        </w:rPr>
        <w:sectPr>
          <w:pgSz w:w="16838" w:h="11906" w:orient="landscape"/>
          <w:pgMar w:top="1276" w:right="1440" w:bottom="1274" w:left="1440" w:header="851" w:footer="992" w:gutter="0"/>
          <w:cols w:space="425" w:num="1"/>
          <w:docGrid w:type="lines" w:linePitch="312" w:charSpace="0"/>
        </w:sectPr>
      </w:pPr>
    </w:p>
    <w:p w14:paraId="7213B361">
      <w:pPr>
        <w:jc w:val="center"/>
        <w:rPr>
          <w:rFonts w:hint="eastAsia" w:ascii="Times New Roman" w:hAnsi="Times New Roman" w:eastAsia="宋体" w:cs="Times New Roman"/>
          <w:b/>
          <w:bCs/>
          <w:sz w:val="36"/>
          <w:szCs w:val="36"/>
        </w:rPr>
      </w:pPr>
      <w:bookmarkStart w:id="79" w:name="_Toc9834_WPSOffice_Level1"/>
    </w:p>
    <w:p w14:paraId="3B86008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hint="eastAsia" w:ascii="Times New Roman" w:hAnsi="Times New Roman" w:eastAsia="宋体" w:cs="Times New Roman"/>
          <w:b/>
          <w:bCs/>
          <w:sz w:val="36"/>
          <w:szCs w:val="36"/>
          <w:lang w:val="en-US" w:eastAsia="zh-CN"/>
        </w:rPr>
        <w:t xml:space="preserve">  </w:t>
      </w:r>
      <w:r>
        <w:rPr>
          <w:rFonts w:ascii="Times New Roman" w:hAnsi="Times New Roman" w:eastAsia="宋体" w:cs="Times New Roman"/>
          <w:b/>
          <w:bCs/>
          <w:sz w:val="36"/>
          <w:szCs w:val="36"/>
        </w:rPr>
        <w:t>响应文件格式</w:t>
      </w:r>
      <w:bookmarkEnd w:id="79"/>
    </w:p>
    <w:p w14:paraId="7763D1C1">
      <w:pPr>
        <w:rPr>
          <w:rFonts w:ascii="Times New Roman" w:hAnsi="Times New Roman" w:eastAsia="宋体" w:cs="Times New Roman"/>
        </w:rPr>
      </w:pPr>
    </w:p>
    <w:p w14:paraId="22D0F2AA">
      <w:pPr>
        <w:spacing w:line="440" w:lineRule="exact"/>
        <w:rPr>
          <w:rFonts w:ascii="Times New Roman" w:hAnsi="Times New Roman" w:eastAsia="黑体" w:cs="Times New Roman"/>
          <w:sz w:val="20"/>
          <w:szCs w:val="20"/>
        </w:rPr>
      </w:pPr>
    </w:p>
    <w:p w14:paraId="5DD3855D">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2DA1F8EA">
      <w:pPr>
        <w:spacing w:line="440" w:lineRule="exact"/>
        <w:rPr>
          <w:rFonts w:ascii="Times New Roman" w:hAnsi="Times New Roman" w:eastAsia="黑体" w:cs="Times New Roman"/>
          <w:sz w:val="20"/>
          <w:szCs w:val="20"/>
        </w:rPr>
      </w:pPr>
    </w:p>
    <w:p w14:paraId="667DB4F8">
      <w:pPr>
        <w:spacing w:line="440" w:lineRule="exact"/>
        <w:rPr>
          <w:rFonts w:ascii="Times New Roman" w:hAnsi="Times New Roman" w:eastAsia="黑体" w:cs="Times New Roman"/>
          <w:sz w:val="40"/>
          <w:szCs w:val="40"/>
        </w:rPr>
      </w:pPr>
    </w:p>
    <w:p w14:paraId="182645DE">
      <w:pPr>
        <w:spacing w:line="440" w:lineRule="exact"/>
        <w:jc w:val="center"/>
        <w:rPr>
          <w:rFonts w:ascii="Times New Roman" w:hAnsi="Times New Roman" w:eastAsia="黑体" w:cs="Times New Roman"/>
          <w:sz w:val="40"/>
          <w:szCs w:val="40"/>
        </w:rPr>
      </w:pPr>
    </w:p>
    <w:p w14:paraId="54138A91">
      <w:pPr>
        <w:spacing w:line="440" w:lineRule="exact"/>
        <w:jc w:val="center"/>
        <w:rPr>
          <w:rFonts w:ascii="Times New Roman" w:hAnsi="Times New Roman" w:eastAsia="黑体" w:cs="Times New Roman"/>
          <w:sz w:val="40"/>
          <w:szCs w:val="40"/>
        </w:rPr>
      </w:pPr>
    </w:p>
    <w:p w14:paraId="44292DF0">
      <w:pPr>
        <w:spacing w:line="440" w:lineRule="exact"/>
        <w:jc w:val="center"/>
        <w:rPr>
          <w:rFonts w:ascii="Times New Roman" w:hAnsi="Times New Roman" w:eastAsia="黑体" w:cs="Times New Roman"/>
          <w:sz w:val="40"/>
          <w:szCs w:val="40"/>
        </w:rPr>
      </w:pPr>
    </w:p>
    <w:p w14:paraId="715A180B">
      <w:pPr>
        <w:jc w:val="center"/>
        <w:rPr>
          <w:rFonts w:ascii="Times New Roman" w:hAnsi="Times New Roman" w:eastAsia="黑体" w:cs="Times New Roman"/>
          <w:sz w:val="50"/>
          <w:szCs w:val="50"/>
        </w:rPr>
      </w:pPr>
      <w:bookmarkStart w:id="80" w:name="_Toc5145_WPSOffice_Level1"/>
      <w:bookmarkStart w:id="81" w:name="_Toc17394_WPSOffice_Level1"/>
      <w:bookmarkStart w:id="82" w:name="_Toc27552_WPSOffice_Level1"/>
      <w:bookmarkStart w:id="83" w:name="_Toc1914_WPSOffice_Level1"/>
      <w:r>
        <w:rPr>
          <w:rFonts w:ascii="Times New Roman" w:hAnsi="Times New Roman" w:eastAsia="黑体" w:cs="Times New Roman"/>
          <w:sz w:val="50"/>
          <w:szCs w:val="50"/>
        </w:rPr>
        <w:t>响应文件</w:t>
      </w:r>
      <w:bookmarkEnd w:id="80"/>
      <w:bookmarkEnd w:id="81"/>
      <w:bookmarkEnd w:id="82"/>
      <w:bookmarkEnd w:id="83"/>
    </w:p>
    <w:p w14:paraId="77B788A0">
      <w:pPr>
        <w:spacing w:line="440" w:lineRule="exact"/>
        <w:rPr>
          <w:rFonts w:ascii="Times New Roman" w:hAnsi="Times New Roman" w:eastAsia="黑体" w:cs="Times New Roman"/>
          <w:sz w:val="20"/>
          <w:szCs w:val="20"/>
        </w:rPr>
      </w:pPr>
    </w:p>
    <w:p w14:paraId="5EEC24CB">
      <w:pPr>
        <w:spacing w:line="440" w:lineRule="exact"/>
        <w:rPr>
          <w:rFonts w:ascii="Times New Roman" w:hAnsi="Times New Roman" w:eastAsia="黑体" w:cs="Times New Roman"/>
          <w:sz w:val="20"/>
          <w:szCs w:val="20"/>
        </w:rPr>
      </w:pPr>
    </w:p>
    <w:p w14:paraId="641E30A3">
      <w:pPr>
        <w:spacing w:line="440" w:lineRule="exact"/>
        <w:rPr>
          <w:rFonts w:ascii="Times New Roman" w:hAnsi="Times New Roman" w:eastAsia="黑体" w:cs="Times New Roman"/>
          <w:sz w:val="20"/>
          <w:szCs w:val="20"/>
        </w:rPr>
      </w:pPr>
    </w:p>
    <w:p w14:paraId="0590A7B9">
      <w:pPr>
        <w:spacing w:line="440" w:lineRule="exact"/>
        <w:rPr>
          <w:rFonts w:ascii="Times New Roman" w:hAnsi="Times New Roman" w:eastAsia="黑体" w:cs="Times New Roman"/>
          <w:sz w:val="20"/>
          <w:szCs w:val="20"/>
        </w:rPr>
      </w:pPr>
    </w:p>
    <w:p w14:paraId="490981E6">
      <w:pPr>
        <w:spacing w:line="440" w:lineRule="exact"/>
        <w:rPr>
          <w:rFonts w:ascii="Times New Roman" w:hAnsi="Times New Roman" w:eastAsia="黑体" w:cs="Times New Roman"/>
          <w:sz w:val="20"/>
          <w:szCs w:val="20"/>
        </w:rPr>
      </w:pPr>
    </w:p>
    <w:p w14:paraId="3D6B8C16">
      <w:pPr>
        <w:spacing w:line="440" w:lineRule="exact"/>
        <w:rPr>
          <w:rFonts w:ascii="Times New Roman" w:hAnsi="Times New Roman" w:eastAsia="黑体" w:cs="Times New Roman"/>
          <w:sz w:val="20"/>
          <w:szCs w:val="20"/>
        </w:rPr>
      </w:pPr>
    </w:p>
    <w:p w14:paraId="66DFE0D2">
      <w:pPr>
        <w:spacing w:line="440" w:lineRule="exact"/>
        <w:rPr>
          <w:rFonts w:ascii="Times New Roman" w:hAnsi="Times New Roman" w:eastAsia="黑体" w:cs="Times New Roman"/>
          <w:sz w:val="20"/>
          <w:szCs w:val="20"/>
        </w:rPr>
      </w:pPr>
    </w:p>
    <w:p w14:paraId="203C1BFF">
      <w:pPr>
        <w:spacing w:line="440" w:lineRule="exact"/>
        <w:rPr>
          <w:rFonts w:ascii="Times New Roman" w:hAnsi="Times New Roman" w:eastAsia="黑体" w:cs="Times New Roman"/>
          <w:sz w:val="20"/>
          <w:szCs w:val="20"/>
        </w:rPr>
      </w:pPr>
    </w:p>
    <w:p w14:paraId="55FBF308">
      <w:pPr>
        <w:spacing w:line="440" w:lineRule="exact"/>
        <w:rPr>
          <w:rFonts w:ascii="Times New Roman" w:hAnsi="Times New Roman" w:eastAsia="黑体" w:cs="Times New Roman"/>
          <w:sz w:val="20"/>
          <w:szCs w:val="20"/>
        </w:rPr>
      </w:pPr>
    </w:p>
    <w:p w14:paraId="46C71173">
      <w:pPr>
        <w:spacing w:line="440" w:lineRule="exact"/>
        <w:rPr>
          <w:rFonts w:ascii="Times New Roman" w:hAnsi="Times New Roman" w:eastAsia="黑体" w:cs="Times New Roman"/>
          <w:sz w:val="20"/>
          <w:szCs w:val="20"/>
        </w:rPr>
      </w:pPr>
    </w:p>
    <w:p w14:paraId="5DBD4D5B">
      <w:pPr>
        <w:spacing w:line="440" w:lineRule="exact"/>
        <w:jc w:val="center"/>
        <w:rPr>
          <w:rFonts w:hint="eastAsia" w:ascii="Times New Roman" w:hAnsi="Times New Roman" w:eastAsia="黑体" w:cs="Times New Roman"/>
          <w:sz w:val="28"/>
          <w:szCs w:val="28"/>
          <w:lang w:eastAsia="zh-CN"/>
        </w:rPr>
      </w:pPr>
      <w:bookmarkStart w:id="84" w:name="_Toc25232_WPSOffice_Level2"/>
      <w:bookmarkStart w:id="85" w:name="_Toc5520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84"/>
      <w:bookmarkEnd w:id="85"/>
      <w:r>
        <w:rPr>
          <w:rFonts w:hint="eastAsia" w:ascii="Times New Roman" w:hAnsi="Times New Roman" w:eastAsia="黑体" w:cs="Times New Roman"/>
          <w:sz w:val="28"/>
          <w:szCs w:val="28"/>
          <w:u w:val="single"/>
          <w:lang w:eastAsia="zh-CN"/>
        </w:rPr>
        <w:t>）</w:t>
      </w:r>
    </w:p>
    <w:p w14:paraId="14C1B387">
      <w:pPr>
        <w:spacing w:line="440" w:lineRule="exact"/>
        <w:ind w:firstLine="2158" w:firstLineChars="771"/>
        <w:rPr>
          <w:rFonts w:ascii="Times New Roman" w:hAnsi="Times New Roman" w:eastAsia="黑体" w:cs="Times New Roman"/>
          <w:sz w:val="28"/>
          <w:szCs w:val="28"/>
        </w:rPr>
      </w:pPr>
    </w:p>
    <w:p w14:paraId="7CED85BE">
      <w:pPr>
        <w:spacing w:line="440" w:lineRule="exact"/>
        <w:jc w:val="center"/>
        <w:rPr>
          <w:rFonts w:ascii="Times New Roman" w:hAnsi="Times New Roman" w:eastAsia="黑体" w:cs="Times New Roman"/>
          <w:sz w:val="28"/>
          <w:szCs w:val="28"/>
        </w:rPr>
      </w:pPr>
      <w:bookmarkStart w:id="86" w:name="_Toc31577_WPSOffice_Level2"/>
      <w:bookmarkStart w:id="87"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8"/>
          <w:szCs w:val="28"/>
          <w:lang w:val="en-US" w:eastAsia="zh-CN"/>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hint="eastAsia" w:ascii="Times New Roman" w:hAnsi="Times New Roman" w:eastAsia="黑体" w:cs="Times New Roman"/>
          <w:sz w:val="28"/>
          <w:szCs w:val="28"/>
          <w:lang w:val="en-US" w:eastAsia="zh-CN"/>
        </w:rPr>
        <w:t xml:space="preserve"> </w:t>
      </w:r>
      <w:r>
        <w:rPr>
          <w:rFonts w:ascii="Times New Roman" w:hAnsi="Times New Roman" w:eastAsia="黑体" w:cs="Times New Roman"/>
          <w:sz w:val="28"/>
          <w:szCs w:val="28"/>
        </w:rPr>
        <w:t>日</w:t>
      </w:r>
      <w:bookmarkEnd w:id="86"/>
      <w:bookmarkEnd w:id="87"/>
    </w:p>
    <w:p w14:paraId="6A98D550">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bookmarkStart w:id="88" w:name="_Toc22351_WPSOffice_Level2"/>
      <w:bookmarkStart w:id="89" w:name="_Toc21974_WPSOffice_Level2"/>
    </w:p>
    <w:p w14:paraId="58195760">
      <w:pPr>
        <w:spacing w:line="440" w:lineRule="exact"/>
        <w:jc w:val="center"/>
        <w:rPr>
          <w:rFonts w:ascii="Times New Roman" w:hAnsi="Times New Roman" w:eastAsia="黑体" w:cs="Times New Roman"/>
          <w:sz w:val="20"/>
          <w:szCs w:val="20"/>
        </w:rPr>
      </w:pPr>
    </w:p>
    <w:p w14:paraId="396CF902">
      <w:pPr>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目</w:t>
      </w:r>
      <w:r>
        <w:rPr>
          <w:rFonts w:hint="eastAsia" w:asciiTheme="minorEastAsia" w:hAnsiTheme="minorEastAsia" w:cstheme="minorEastAsia"/>
          <w:b/>
          <w:bCs/>
          <w:sz w:val="28"/>
          <w:szCs w:val="28"/>
          <w:lang w:val="en-US" w:eastAsia="zh-CN"/>
        </w:rPr>
        <w:t xml:space="preserve"> </w:t>
      </w:r>
      <w:r>
        <w:rPr>
          <w:rFonts w:hint="eastAsia" w:asciiTheme="minorEastAsia" w:hAnsiTheme="minorEastAsia" w:eastAsiaTheme="minorEastAsia" w:cstheme="minorEastAsia"/>
          <w:b/>
          <w:bCs/>
          <w:sz w:val="28"/>
          <w:szCs w:val="28"/>
        </w:rPr>
        <w:t>录</w:t>
      </w:r>
      <w:bookmarkEnd w:id="88"/>
      <w:bookmarkEnd w:id="89"/>
    </w:p>
    <w:p w14:paraId="114A45DE">
      <w:pPr>
        <w:spacing w:line="440" w:lineRule="exact"/>
        <w:rPr>
          <w:rFonts w:hint="eastAsia" w:asciiTheme="minorEastAsia" w:hAnsiTheme="minorEastAsia" w:eastAsiaTheme="minorEastAsia" w:cstheme="minorEastAsia"/>
          <w:b/>
          <w:bCs/>
          <w:sz w:val="28"/>
          <w:szCs w:val="28"/>
        </w:rPr>
      </w:pPr>
    </w:p>
    <w:p w14:paraId="024263CC">
      <w:pPr>
        <w:spacing w:line="440" w:lineRule="exact"/>
        <w:ind w:left="1619" w:leftChars="771"/>
        <w:rPr>
          <w:rFonts w:hint="eastAsia" w:asciiTheme="minorEastAsia" w:hAnsiTheme="minorEastAsia" w:eastAsiaTheme="minorEastAsia" w:cstheme="minorEastAsia"/>
          <w:sz w:val="28"/>
          <w:szCs w:val="28"/>
        </w:rPr>
      </w:pPr>
      <w:bookmarkStart w:id="90" w:name="_Toc6353_WPSOffice_Level1"/>
      <w:bookmarkStart w:id="91" w:name="_Toc23368_WPSOffice_Level1"/>
      <w:bookmarkStart w:id="92" w:name="_Toc30529_WPSOffice_Level1"/>
      <w:bookmarkStart w:id="93" w:name="_Toc11424_WPSOffice_Level1"/>
      <w:bookmarkStart w:id="94" w:name="_Toc12670_WPSOffice_Level1"/>
    </w:p>
    <w:p w14:paraId="60C027D3">
      <w:pPr>
        <w:spacing w:line="440" w:lineRule="exact"/>
        <w:ind w:left="1619" w:leftChars="77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一、报价函</w:t>
      </w:r>
      <w:bookmarkEnd w:id="90"/>
      <w:bookmarkEnd w:id="91"/>
      <w:bookmarkEnd w:id="92"/>
      <w:bookmarkEnd w:id="93"/>
    </w:p>
    <w:p w14:paraId="3206E851">
      <w:pPr>
        <w:spacing w:line="440" w:lineRule="exact"/>
        <w:ind w:left="1619" w:leftChars="771"/>
        <w:rPr>
          <w:rFonts w:hint="eastAsia" w:asciiTheme="minorEastAsia" w:hAnsiTheme="minorEastAsia" w:eastAsiaTheme="minorEastAsia" w:cstheme="minorEastAsia"/>
          <w:sz w:val="28"/>
          <w:szCs w:val="28"/>
        </w:rPr>
      </w:pPr>
      <w:bookmarkStart w:id="95" w:name="_Toc32729_WPSOffice_Level1"/>
      <w:bookmarkStart w:id="96" w:name="_Toc31927_WPSOffice_Level1"/>
      <w:bookmarkStart w:id="97" w:name="_Toc5317_WPSOffice_Level1"/>
      <w:bookmarkStart w:id="98" w:name="_Toc21229_WPSOffice_Level1"/>
      <w:r>
        <w:rPr>
          <w:rFonts w:hint="eastAsia" w:asciiTheme="minorEastAsia" w:hAnsiTheme="minorEastAsia" w:eastAsiaTheme="minorEastAsia" w:cstheme="minorEastAsia"/>
          <w:sz w:val="28"/>
          <w:szCs w:val="28"/>
        </w:rPr>
        <w:t>二、法定代表人身份证明及授权委托书</w:t>
      </w:r>
      <w:bookmarkEnd w:id="95"/>
      <w:bookmarkEnd w:id="96"/>
      <w:bookmarkEnd w:id="97"/>
      <w:bookmarkEnd w:id="98"/>
    </w:p>
    <w:p w14:paraId="5C0B2AF3">
      <w:pPr>
        <w:spacing w:line="440" w:lineRule="exact"/>
        <w:ind w:left="1619" w:leftChars="771"/>
        <w:rPr>
          <w:rFonts w:hint="eastAsia" w:asciiTheme="minorEastAsia" w:hAnsiTheme="minorEastAsia" w:eastAsiaTheme="minorEastAsia" w:cstheme="minorEastAsia"/>
          <w:sz w:val="28"/>
          <w:szCs w:val="28"/>
        </w:rPr>
      </w:pPr>
      <w:bookmarkStart w:id="99" w:name="_Toc29085_WPSOffice_Level1"/>
      <w:bookmarkStart w:id="100" w:name="_Toc25965_WPSOffice_Level1"/>
      <w:bookmarkStart w:id="101" w:name="_Toc23356_WPSOffice_Level1"/>
      <w:bookmarkStart w:id="102" w:name="_Toc4728_WPSOffice_Level1"/>
      <w:r>
        <w:rPr>
          <w:rFonts w:hint="eastAsia" w:asciiTheme="minorEastAsia" w:hAnsiTheme="minorEastAsia" w:eastAsiaTheme="minorEastAsia" w:cstheme="minorEastAsia"/>
          <w:sz w:val="28"/>
          <w:szCs w:val="28"/>
        </w:rPr>
        <w:t>三、已标价的</w:t>
      </w:r>
      <w:bookmarkEnd w:id="99"/>
      <w:bookmarkEnd w:id="100"/>
      <w:bookmarkEnd w:id="101"/>
      <w:bookmarkEnd w:id="102"/>
      <w:r>
        <w:rPr>
          <w:rFonts w:hint="eastAsia" w:asciiTheme="minorEastAsia" w:hAnsiTheme="minorEastAsia" w:eastAsiaTheme="minorEastAsia" w:cstheme="minorEastAsia"/>
          <w:sz w:val="28"/>
          <w:szCs w:val="28"/>
        </w:rPr>
        <w:t>报价清单</w:t>
      </w:r>
    </w:p>
    <w:p w14:paraId="2F5F61A6">
      <w:pPr>
        <w:spacing w:line="440" w:lineRule="exact"/>
        <w:ind w:left="1619" w:leftChars="771"/>
        <w:rPr>
          <w:rFonts w:hint="eastAsia" w:asciiTheme="minorEastAsia" w:hAnsiTheme="minorEastAsia" w:eastAsiaTheme="minorEastAsia" w:cstheme="minorEastAsia"/>
          <w:sz w:val="28"/>
          <w:szCs w:val="28"/>
        </w:rPr>
      </w:pPr>
      <w:bookmarkStart w:id="103" w:name="_Toc18964_WPSOffice_Level1"/>
      <w:bookmarkStart w:id="104" w:name="_Toc23744_WPSOffice_Level1"/>
      <w:bookmarkStart w:id="105" w:name="_Toc10608_WPSOffice_Level1"/>
      <w:bookmarkStart w:id="106" w:name="_Toc7453_WPSOffice_Level1"/>
      <w:r>
        <w:rPr>
          <w:rFonts w:hint="eastAsia" w:asciiTheme="minorEastAsia" w:hAnsiTheme="minorEastAsia" w:eastAsiaTheme="minorEastAsia" w:cstheme="minorEastAsia"/>
          <w:sz w:val="28"/>
          <w:szCs w:val="28"/>
        </w:rPr>
        <w:t>四、</w:t>
      </w:r>
      <w:bookmarkEnd w:id="103"/>
      <w:bookmarkEnd w:id="104"/>
      <w:bookmarkEnd w:id="105"/>
      <w:bookmarkEnd w:id="106"/>
      <w:r>
        <w:rPr>
          <w:rFonts w:hint="eastAsia" w:asciiTheme="minorEastAsia" w:hAnsiTheme="minorEastAsia" w:eastAsiaTheme="minorEastAsia" w:cstheme="minorEastAsia"/>
          <w:sz w:val="28"/>
          <w:szCs w:val="28"/>
        </w:rPr>
        <w:t>供应商基本情况</w:t>
      </w:r>
    </w:p>
    <w:p w14:paraId="62DB0949">
      <w:pPr>
        <w:spacing w:line="440" w:lineRule="exact"/>
        <w:ind w:left="1619" w:leftChars="771"/>
        <w:rPr>
          <w:rFonts w:hint="eastAsia" w:asciiTheme="minorEastAsia" w:hAnsiTheme="minorEastAsia" w:eastAsiaTheme="minorEastAsia" w:cstheme="minorEastAsia"/>
          <w:sz w:val="28"/>
          <w:szCs w:val="28"/>
        </w:rPr>
      </w:pPr>
      <w:bookmarkStart w:id="107" w:name="_Toc23751_WPSOffice_Level1"/>
      <w:bookmarkStart w:id="108" w:name="_Toc19601_WPSOffice_Level1"/>
      <w:bookmarkStart w:id="109" w:name="_Toc1578_WPSOffice_Level1"/>
      <w:bookmarkStart w:id="110" w:name="_Toc9006_WPSOffice_Level1"/>
      <w:r>
        <w:rPr>
          <w:rFonts w:hint="eastAsia" w:asciiTheme="minorEastAsia" w:hAnsiTheme="minorEastAsia" w:eastAsiaTheme="minorEastAsia" w:cstheme="minorEastAsia"/>
          <w:sz w:val="28"/>
          <w:szCs w:val="28"/>
        </w:rPr>
        <w:t>五、</w:t>
      </w:r>
      <w:bookmarkEnd w:id="107"/>
      <w:bookmarkEnd w:id="108"/>
      <w:bookmarkEnd w:id="109"/>
      <w:bookmarkEnd w:id="110"/>
      <w:r>
        <w:rPr>
          <w:rFonts w:hint="eastAsia" w:asciiTheme="minorEastAsia" w:hAnsiTheme="minorEastAsia" w:eastAsiaTheme="minorEastAsia" w:cstheme="minorEastAsia"/>
          <w:sz w:val="28"/>
          <w:szCs w:val="28"/>
        </w:rPr>
        <w:t>近年类似业绩情况</w:t>
      </w:r>
    </w:p>
    <w:p w14:paraId="0856975D">
      <w:pPr>
        <w:spacing w:line="440" w:lineRule="exact"/>
        <w:ind w:left="1619" w:leftChars="771"/>
        <w:rPr>
          <w:rFonts w:hint="eastAsia" w:asciiTheme="minorEastAsia" w:hAnsiTheme="minorEastAsia" w:eastAsiaTheme="minorEastAsia" w:cstheme="minorEastAsia"/>
          <w:sz w:val="28"/>
          <w:szCs w:val="28"/>
        </w:rPr>
      </w:pPr>
      <w:bookmarkStart w:id="111" w:name="_Toc24082_WPSOffice_Level1"/>
      <w:bookmarkStart w:id="112" w:name="_Toc31314_WPSOffice_Level1"/>
      <w:bookmarkStart w:id="113" w:name="_Toc24262_WPSOffice_Level1"/>
      <w:bookmarkStart w:id="114" w:name="_Toc12459_WPSOffice_Level1"/>
      <w:r>
        <w:rPr>
          <w:rFonts w:hint="eastAsia" w:asciiTheme="minorEastAsia" w:hAnsiTheme="minorEastAsia" w:eastAsiaTheme="minorEastAsia" w:cstheme="minorEastAsia"/>
          <w:sz w:val="28"/>
          <w:szCs w:val="28"/>
        </w:rPr>
        <w:t>六、</w:t>
      </w:r>
      <w:bookmarkEnd w:id="111"/>
      <w:bookmarkEnd w:id="112"/>
      <w:r>
        <w:rPr>
          <w:rFonts w:hint="eastAsia" w:asciiTheme="minorEastAsia" w:hAnsiTheme="minorEastAsia" w:eastAsiaTheme="minorEastAsia" w:cstheme="minorEastAsia"/>
          <w:sz w:val="28"/>
          <w:szCs w:val="28"/>
        </w:rPr>
        <w:t>信誉情况</w:t>
      </w:r>
    </w:p>
    <w:p w14:paraId="4CEE74CD">
      <w:pPr>
        <w:spacing w:line="440" w:lineRule="exact"/>
        <w:ind w:left="1619" w:leftChars="771"/>
        <w:rPr>
          <w:rFonts w:hint="eastAsia" w:asciiTheme="minorEastAsia" w:hAnsiTheme="minorEastAsia" w:eastAsiaTheme="minorEastAsia" w:cstheme="minorEastAsia"/>
          <w:sz w:val="28"/>
          <w:szCs w:val="28"/>
        </w:rPr>
      </w:pPr>
      <w:bookmarkStart w:id="115" w:name="_Toc20930_WPSOffice_Level1"/>
      <w:bookmarkStart w:id="116" w:name="_Toc32220_WPSOffice_Level1"/>
      <w:r>
        <w:rPr>
          <w:rFonts w:hint="eastAsia" w:asciiTheme="minorEastAsia" w:hAnsiTheme="minorEastAsia" w:eastAsiaTheme="minorEastAsia" w:cstheme="minorEastAsia"/>
          <w:sz w:val="28"/>
          <w:szCs w:val="28"/>
        </w:rPr>
        <w:t>七</w:t>
      </w:r>
      <w:bookmarkEnd w:id="113"/>
      <w:bookmarkEnd w:id="114"/>
      <w:bookmarkEnd w:id="115"/>
      <w:bookmarkEnd w:id="116"/>
      <w:bookmarkStart w:id="117" w:name="_Toc30273_WPSOffice_Level1"/>
      <w:bookmarkStart w:id="118" w:name="_Toc32648_WPSOffice_Level1"/>
      <w:bookmarkStart w:id="119" w:name="_Toc25804_WPSOffice_Level1"/>
      <w:bookmarkStart w:id="120" w:name="_Toc27403_WPSOffice_Level1"/>
      <w:r>
        <w:rPr>
          <w:rFonts w:hint="eastAsia" w:asciiTheme="minorEastAsia" w:hAnsiTheme="minorEastAsia" w:eastAsiaTheme="minorEastAsia" w:cstheme="minorEastAsia"/>
          <w:sz w:val="28"/>
          <w:szCs w:val="28"/>
        </w:rPr>
        <w:t>、</w:t>
      </w:r>
      <w:bookmarkEnd w:id="117"/>
      <w:bookmarkEnd w:id="118"/>
      <w:bookmarkEnd w:id="119"/>
      <w:bookmarkEnd w:id="120"/>
      <w:r>
        <w:rPr>
          <w:rFonts w:hint="eastAsia" w:asciiTheme="minorEastAsia" w:hAnsiTheme="minorEastAsia" w:eastAsiaTheme="minorEastAsia" w:cstheme="minorEastAsia"/>
          <w:sz w:val="28"/>
          <w:szCs w:val="28"/>
        </w:rPr>
        <w:t>技术性能（质量）指标描述</w:t>
      </w:r>
    </w:p>
    <w:p w14:paraId="29F77AB5">
      <w:pPr>
        <w:spacing w:line="440" w:lineRule="exact"/>
        <w:ind w:left="1619" w:leftChars="771"/>
        <w:rPr>
          <w:rFonts w:hint="eastAsia" w:asciiTheme="minorEastAsia" w:hAnsiTheme="minorEastAsia" w:eastAsiaTheme="minorEastAsia" w:cstheme="minorEastAsia"/>
          <w:sz w:val="28"/>
          <w:szCs w:val="28"/>
        </w:rPr>
      </w:pPr>
      <w:bookmarkStart w:id="121" w:name="_Toc4051_WPSOffice_Level1"/>
      <w:bookmarkStart w:id="122" w:name="_Toc23147_WPSOffice_Level1"/>
      <w:bookmarkStart w:id="123" w:name="_Toc32152_WPSOffice_Level1"/>
      <w:bookmarkStart w:id="124" w:name="_Toc30234_WPSOffice_Level1"/>
      <w:r>
        <w:rPr>
          <w:rFonts w:hint="eastAsia" w:asciiTheme="minorEastAsia" w:hAnsiTheme="minorEastAsia" w:eastAsiaTheme="minorEastAsia" w:cstheme="minorEastAsia"/>
          <w:sz w:val="28"/>
          <w:szCs w:val="28"/>
        </w:rPr>
        <w:t>八、</w:t>
      </w:r>
      <w:bookmarkEnd w:id="121"/>
      <w:bookmarkEnd w:id="122"/>
      <w:bookmarkEnd w:id="123"/>
      <w:bookmarkEnd w:id="124"/>
      <w:r>
        <w:rPr>
          <w:rFonts w:hint="eastAsia" w:asciiTheme="minorEastAsia" w:hAnsiTheme="minorEastAsia" w:eastAsiaTheme="minorEastAsia" w:cstheme="minorEastAsia"/>
          <w:sz w:val="28"/>
          <w:szCs w:val="28"/>
        </w:rPr>
        <w:t>供货方案</w:t>
      </w:r>
    </w:p>
    <w:p w14:paraId="246212B0">
      <w:pPr>
        <w:spacing w:line="440" w:lineRule="exact"/>
        <w:ind w:left="1619" w:leftChars="771"/>
        <w:rPr>
          <w:rFonts w:hint="eastAsia" w:asciiTheme="minorEastAsia" w:hAnsiTheme="minorEastAsia" w:eastAsiaTheme="minorEastAsia" w:cstheme="minorEastAsia"/>
          <w:sz w:val="28"/>
          <w:szCs w:val="28"/>
        </w:rPr>
      </w:pPr>
      <w:bookmarkStart w:id="125" w:name="_Toc5885_WPSOffice_Level1"/>
      <w:bookmarkStart w:id="126" w:name="_Toc16988_WPSOffice_Level1"/>
      <w:r>
        <w:rPr>
          <w:rFonts w:hint="eastAsia" w:asciiTheme="minorEastAsia" w:hAnsiTheme="minorEastAsia" w:eastAsiaTheme="minorEastAsia" w:cstheme="minorEastAsia"/>
          <w:sz w:val="28"/>
          <w:szCs w:val="28"/>
        </w:rPr>
        <w:t>九、其他材料</w:t>
      </w:r>
      <w:bookmarkEnd w:id="94"/>
      <w:bookmarkEnd w:id="125"/>
      <w:bookmarkEnd w:id="126"/>
    </w:p>
    <w:p w14:paraId="06EE45BB">
      <w:pPr>
        <w:spacing w:line="440" w:lineRule="exact"/>
        <w:ind w:left="1619" w:leftChars="771"/>
        <w:rPr>
          <w:rFonts w:ascii="Times New Roman" w:hAnsi="Times New Roman" w:eastAsia="黑体" w:cs="Times New Roman"/>
          <w:sz w:val="24"/>
        </w:rPr>
      </w:pPr>
    </w:p>
    <w:p w14:paraId="3CFB02FB">
      <w:pPr>
        <w:spacing w:line="440" w:lineRule="exact"/>
        <w:ind w:left="1619" w:leftChars="771"/>
        <w:rPr>
          <w:rFonts w:ascii="Times New Roman" w:hAnsi="Times New Roman" w:eastAsia="黑体" w:cs="Times New Roman"/>
          <w:sz w:val="24"/>
        </w:rPr>
      </w:pPr>
    </w:p>
    <w:p w14:paraId="20CDEE99">
      <w:pPr>
        <w:numPr>
          <w:ilvl w:val="0"/>
          <w:numId w:val="4"/>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27" w:name="_Toc30031_WPSOffice_Level1"/>
      <w:bookmarkStart w:id="128" w:name="_Toc18312_WPSOffice_Level1"/>
      <w:bookmarkStart w:id="129" w:name="_Toc29399_WPSOffice_Level1"/>
      <w:bookmarkStart w:id="130" w:name="_Toc2765_WPSOffice_Level1"/>
      <w:bookmarkStart w:id="131" w:name="_Toc1687_WPSOffice_Level1"/>
    </w:p>
    <w:p w14:paraId="51BEBAD5">
      <w:pPr>
        <w:numPr>
          <w:ilvl w:val="0"/>
          <w:numId w:val="0"/>
        </w:numPr>
        <w:spacing w:line="440" w:lineRule="exact"/>
        <w:jc w:val="both"/>
        <w:rPr>
          <w:rFonts w:ascii="Times New Roman" w:hAnsi="Times New Roman" w:eastAsia="黑体" w:cs="Times New Roman"/>
          <w:sz w:val="24"/>
          <w:szCs w:val="24"/>
        </w:rPr>
      </w:pPr>
    </w:p>
    <w:p w14:paraId="1DEA83B1">
      <w:pPr>
        <w:numPr>
          <w:ilvl w:val="0"/>
          <w:numId w:val="5"/>
        </w:numPr>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报价函</w:t>
      </w:r>
      <w:bookmarkEnd w:id="127"/>
      <w:bookmarkEnd w:id="128"/>
      <w:bookmarkEnd w:id="129"/>
      <w:bookmarkEnd w:id="130"/>
      <w:bookmarkEnd w:id="131"/>
    </w:p>
    <w:p w14:paraId="01C36EB7">
      <w:pPr>
        <w:pStyle w:val="15"/>
        <w:numPr>
          <w:ilvl w:val="0"/>
          <w:numId w:val="0"/>
        </w:numPr>
        <w:ind w:leftChars="400"/>
        <w:rPr>
          <w:rFonts w:hint="eastAsia" w:asciiTheme="minorEastAsia" w:hAnsiTheme="minorEastAsia" w:eastAsiaTheme="minorEastAsia" w:cstheme="minorEastAsia"/>
          <w:sz w:val="24"/>
          <w:szCs w:val="24"/>
        </w:rPr>
      </w:pPr>
    </w:p>
    <w:p w14:paraId="0E9E3050">
      <w:pPr>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(采购人名称)：</w:t>
      </w:r>
    </w:p>
    <w:p w14:paraId="436B37F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1．我方已仔细研究了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(项目名称)</w:t>
      </w:r>
      <w:r>
        <w:rPr>
          <w:rFonts w:hint="eastAsia" w:asciiTheme="minorEastAsia" w:hAnsiTheme="minorEastAsia" w:eastAsiaTheme="minorEastAsia" w:cstheme="minorEastAsia"/>
          <w:sz w:val="24"/>
          <w:szCs w:val="24"/>
          <w:u w:val="single"/>
        </w:rPr>
        <w:t xml:space="preserve"> / </w:t>
      </w:r>
      <w:r>
        <w:rPr>
          <w:rFonts w:hint="eastAsia" w:asciiTheme="minorEastAsia" w:hAnsiTheme="minorEastAsia" w:eastAsiaTheme="minorEastAsia" w:cstheme="minorEastAsia"/>
          <w:sz w:val="24"/>
          <w:szCs w:val="24"/>
        </w:rPr>
        <w:t>合同包询比文件的全部内容(含补遗书第__号至第__号)，愿意以人民币(大写)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(小写：¥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)的总报价，交货期</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，按合同约定实施和完成供货及提供相关服务，质量目标达到</w:t>
      </w:r>
      <w:r>
        <w:rPr>
          <w:rFonts w:hint="eastAsia" w:asciiTheme="minorEastAsia" w:hAnsiTheme="minorEastAsia" w:eastAsiaTheme="minorEastAsia" w:cstheme="minorEastAsia"/>
          <w:sz w:val="24"/>
          <w:szCs w:val="24"/>
          <w:u w:val="single"/>
        </w:rPr>
        <w:t xml:space="preserve"> 采购文件要求 </w:t>
      </w:r>
      <w:r>
        <w:rPr>
          <w:rFonts w:hint="eastAsia" w:asciiTheme="minorEastAsia" w:hAnsiTheme="minorEastAsia" w:eastAsiaTheme="minorEastAsia" w:cstheme="minorEastAsia"/>
          <w:sz w:val="24"/>
          <w:szCs w:val="24"/>
        </w:rPr>
        <w:t>。</w:t>
      </w:r>
    </w:p>
    <w:p w14:paraId="09853DBA">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2．我方承诺在响应有效期内不修改、撤销响应文件。</w:t>
      </w:r>
    </w:p>
    <w:p w14:paraId="38DD3B23">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3．随同本报价函提交响应保证金一份，金额为人民币(大写)</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元(¥</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35CF4EF0">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4．如我方成交：</w:t>
      </w:r>
    </w:p>
    <w:p w14:paraId="4A383DDF">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(1)我方承诺在收到成交通知书后，在成交通知书规定的期限内与你方签订合同。</w:t>
      </w:r>
    </w:p>
    <w:p w14:paraId="48EE2C5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(2)我方承诺按照询比文件规定向你方递交履约担保。</w:t>
      </w:r>
    </w:p>
    <w:p w14:paraId="3CA9B5D1">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(3)我方承诺在合同约定的期限内完成全部合同任务。</w:t>
      </w:r>
    </w:p>
    <w:p w14:paraId="65A85F36">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5．我方在此声明，所递交的响应文件及有关资料内容完整、真实和准确。</w:t>
      </w:r>
    </w:p>
    <w:p w14:paraId="6AD9E9D9">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6．在合同协议书正式签署生效之前，本报价函连同你方的成交通知书将构成我们双方之间共同遵守的文件，对双方具有约束力。</w:t>
      </w:r>
    </w:p>
    <w:p w14:paraId="6E3675EB">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7．我方理解，你方不一定接受任何报价。同时也理解，你方不负担我方的任何报价费用。</w:t>
      </w:r>
    </w:p>
    <w:p w14:paraId="5A1AEE14">
      <w:pPr>
        <w:spacing w:line="40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8.____________。</w:t>
      </w:r>
    </w:p>
    <w:p w14:paraId="2FC7906D">
      <w:pPr>
        <w:spacing w:line="400" w:lineRule="exact"/>
        <w:ind w:firstLine="480" w:firstLineChars="200"/>
        <w:rPr>
          <w:rFonts w:hint="eastAsia" w:asciiTheme="minorEastAsia" w:hAnsiTheme="minorEastAsia" w:eastAsiaTheme="minorEastAsia" w:cstheme="minorEastAsia"/>
          <w:sz w:val="24"/>
          <w:szCs w:val="24"/>
        </w:rPr>
      </w:pPr>
    </w:p>
    <w:p w14:paraId="2DCF2C72">
      <w:pPr>
        <w:spacing w:line="400" w:lineRule="exact"/>
        <w:ind w:firstLine="480" w:firstLineChars="200"/>
        <w:rPr>
          <w:rFonts w:hint="eastAsia" w:asciiTheme="minorEastAsia" w:hAnsiTheme="minorEastAsia" w:eastAsiaTheme="minorEastAsia" w:cstheme="minorEastAsia"/>
          <w:sz w:val="24"/>
          <w:szCs w:val="24"/>
        </w:rPr>
      </w:pPr>
    </w:p>
    <w:p w14:paraId="373AEC91">
      <w:pPr>
        <w:spacing w:line="400" w:lineRule="exact"/>
        <w:ind w:firstLine="3420" w:firstLineChars="1425"/>
        <w:rPr>
          <w:rFonts w:hint="eastAsia" w:asciiTheme="minorEastAsia" w:hAnsiTheme="minorEastAsia" w:eastAsiaTheme="minorEastAsia" w:cstheme="minorEastAsia"/>
          <w:sz w:val="24"/>
          <w:szCs w:val="24"/>
        </w:rPr>
      </w:pPr>
    </w:p>
    <w:p w14:paraId="73638E90">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(盖单位章)</w:t>
      </w:r>
    </w:p>
    <w:p w14:paraId="3B62B49E">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法定代表人或委托代理人：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(签名)</w:t>
      </w:r>
    </w:p>
    <w:p w14:paraId="3FD0AB72">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16A8107F">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网址：</w:t>
      </w:r>
      <w:r>
        <w:rPr>
          <w:rFonts w:hint="eastAsia" w:asciiTheme="minorEastAsia" w:hAnsiTheme="minorEastAsia" w:eastAsiaTheme="minorEastAsia" w:cstheme="minorEastAsia"/>
          <w:sz w:val="24"/>
          <w:szCs w:val="24"/>
          <w:u w:val="single"/>
        </w:rPr>
        <w:t xml:space="preserve">                                     </w:t>
      </w:r>
    </w:p>
    <w:p w14:paraId="25EA62C9">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4877109E">
      <w:pPr>
        <w:spacing w:line="400" w:lineRule="exact"/>
        <w:ind w:firstLine="3420" w:firstLineChars="142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电子邮箱：</w:t>
      </w:r>
      <w:r>
        <w:rPr>
          <w:rFonts w:hint="eastAsia" w:asciiTheme="minorEastAsia" w:hAnsiTheme="minorEastAsia" w:eastAsiaTheme="minorEastAsia" w:cstheme="minorEastAsia"/>
          <w:sz w:val="24"/>
          <w:szCs w:val="24"/>
          <w:u w:val="single"/>
        </w:rPr>
        <w:t xml:space="preserve">                                  </w:t>
      </w:r>
    </w:p>
    <w:p w14:paraId="1515697F">
      <w:pPr>
        <w:spacing w:line="400" w:lineRule="exact"/>
        <w:ind w:firstLine="5700" w:firstLineChars="237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w:t>
      </w:r>
    </w:p>
    <w:p w14:paraId="70737645">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p>
    <w:p w14:paraId="5EF6FC1C">
      <w:pPr>
        <w:rPr>
          <w:rFonts w:ascii="Times New Roman" w:hAnsi="Times New Roman" w:cs="Times New Roman"/>
          <w:sz w:val="24"/>
        </w:rPr>
      </w:pPr>
    </w:p>
    <w:p w14:paraId="0E94A0F0">
      <w:pPr>
        <w:spacing w:line="440" w:lineRule="exact"/>
        <w:jc w:val="center"/>
        <w:rPr>
          <w:rFonts w:hint="eastAsia" w:asciiTheme="minorEastAsia" w:hAnsiTheme="minorEastAsia" w:eastAsiaTheme="minorEastAsia" w:cstheme="minorEastAsia"/>
          <w:b/>
          <w:bCs/>
          <w:sz w:val="28"/>
          <w:szCs w:val="28"/>
        </w:rPr>
      </w:pPr>
      <w:bookmarkStart w:id="132" w:name="_Toc14563_WPSOffice_Level1"/>
      <w:bookmarkStart w:id="133" w:name="_Toc12530_WPSOffice_Level1"/>
      <w:bookmarkStart w:id="134" w:name="_Toc8695_WPSOffice_Level1"/>
      <w:bookmarkStart w:id="135" w:name="_Toc18668_WPSOffice_Level1"/>
      <w:bookmarkStart w:id="136" w:name="_Toc32350_WPSOffice_Level1"/>
      <w:r>
        <w:rPr>
          <w:rFonts w:hint="eastAsia" w:asciiTheme="minorEastAsia" w:hAnsiTheme="minorEastAsia" w:eastAsiaTheme="minorEastAsia" w:cstheme="minorEastAsia"/>
          <w:b/>
          <w:bCs/>
          <w:sz w:val="28"/>
          <w:szCs w:val="28"/>
        </w:rPr>
        <w:t>二、法定代表人身份证明及授权委托书</w:t>
      </w:r>
      <w:bookmarkEnd w:id="132"/>
      <w:bookmarkEnd w:id="133"/>
      <w:bookmarkEnd w:id="134"/>
      <w:bookmarkEnd w:id="135"/>
      <w:bookmarkEnd w:id="136"/>
    </w:p>
    <w:p w14:paraId="6CD78299">
      <w:pPr>
        <w:spacing w:line="440" w:lineRule="exact"/>
        <w:rPr>
          <w:rFonts w:hint="eastAsia" w:asciiTheme="minorEastAsia" w:hAnsiTheme="minorEastAsia" w:eastAsiaTheme="minorEastAsia" w:cstheme="minorEastAsia"/>
          <w:b/>
          <w:bCs/>
          <w:sz w:val="28"/>
          <w:szCs w:val="28"/>
        </w:rPr>
      </w:pPr>
    </w:p>
    <w:p w14:paraId="150527FC">
      <w:pPr>
        <w:spacing w:line="440" w:lineRule="exact"/>
        <w:jc w:val="center"/>
        <w:rPr>
          <w:rFonts w:hint="eastAsia" w:asciiTheme="minorEastAsia" w:hAnsiTheme="minorEastAsia" w:eastAsiaTheme="minorEastAsia" w:cstheme="minorEastAsia"/>
          <w:b/>
          <w:bCs/>
          <w:sz w:val="28"/>
          <w:szCs w:val="28"/>
        </w:rPr>
      </w:pPr>
      <w:bookmarkStart w:id="137" w:name="_Toc20803_WPSOffice_Level2"/>
      <w:bookmarkStart w:id="138" w:name="_Toc5153_WPSOffice_Level2"/>
      <w:r>
        <w:rPr>
          <w:rFonts w:hint="eastAsia" w:asciiTheme="minorEastAsia" w:hAnsiTheme="minorEastAsia" w:eastAsiaTheme="minorEastAsia" w:cstheme="minorEastAsia"/>
          <w:b/>
          <w:bCs/>
          <w:sz w:val="28"/>
          <w:szCs w:val="28"/>
        </w:rPr>
        <w:t>2-1 法定代表人身份证明</w:t>
      </w:r>
      <w:bookmarkEnd w:id="137"/>
      <w:bookmarkEnd w:id="138"/>
    </w:p>
    <w:p w14:paraId="36EF2EBE">
      <w:pPr>
        <w:spacing w:line="440" w:lineRule="exact"/>
        <w:rPr>
          <w:rFonts w:ascii="Times New Roman" w:hAnsi="Times New Roman" w:cs="Times New Roman"/>
          <w:sz w:val="20"/>
          <w:szCs w:val="20"/>
        </w:rPr>
      </w:pPr>
    </w:p>
    <w:p w14:paraId="3D9A0912">
      <w:pPr>
        <w:spacing w:line="440" w:lineRule="exact"/>
        <w:rPr>
          <w:rFonts w:ascii="Times New Roman" w:hAnsi="Times New Roman" w:cs="Times New Roman"/>
          <w:sz w:val="24"/>
          <w:szCs w:val="24"/>
        </w:rPr>
      </w:pPr>
      <w:r>
        <w:rPr>
          <w:rFonts w:ascii="Times New Roman" w:hAnsi="Times New Roman" w:cs="Times New Roman"/>
          <w:sz w:val="24"/>
          <w:szCs w:val="24"/>
        </w:rPr>
        <w:t>供应商名称：</w:t>
      </w:r>
    </w:p>
    <w:p w14:paraId="78FF2BAA">
      <w:pPr>
        <w:spacing w:line="440" w:lineRule="exact"/>
        <w:rPr>
          <w:rFonts w:ascii="Times New Roman" w:hAnsi="Times New Roman" w:cs="Times New Roman"/>
          <w:sz w:val="24"/>
          <w:szCs w:val="24"/>
        </w:rPr>
      </w:pPr>
      <w:r>
        <w:rPr>
          <w:rFonts w:ascii="Times New Roman" w:hAnsi="Times New Roman" w:cs="Times New Roman"/>
          <w:sz w:val="24"/>
          <w:szCs w:val="24"/>
        </w:rPr>
        <w:t>单位性质：</w:t>
      </w:r>
    </w:p>
    <w:p w14:paraId="3C6D0645">
      <w:pPr>
        <w:spacing w:line="440" w:lineRule="exact"/>
        <w:rPr>
          <w:rFonts w:ascii="Times New Roman" w:hAnsi="Times New Roman" w:cs="Times New Roman"/>
          <w:sz w:val="24"/>
          <w:szCs w:val="24"/>
        </w:rPr>
      </w:pPr>
      <w:r>
        <w:rPr>
          <w:rFonts w:ascii="Times New Roman" w:hAnsi="Times New Roman" w:cs="Times New Roman"/>
          <w:sz w:val="24"/>
          <w:szCs w:val="24"/>
        </w:rPr>
        <w:t>地址：</w:t>
      </w:r>
    </w:p>
    <w:p w14:paraId="743D4A48">
      <w:pPr>
        <w:spacing w:line="440" w:lineRule="exact"/>
        <w:rPr>
          <w:rFonts w:ascii="Times New Roman" w:hAnsi="Times New Roman" w:cs="Times New Roman"/>
          <w:sz w:val="24"/>
          <w:szCs w:val="24"/>
        </w:rPr>
      </w:pPr>
      <w:r>
        <w:rPr>
          <w:rFonts w:ascii="Times New Roman" w:hAnsi="Times New Roman" w:cs="Times New Roman"/>
          <w:sz w:val="24"/>
          <w:szCs w:val="24"/>
        </w:rPr>
        <w:t>成立时间：年月日</w:t>
      </w:r>
    </w:p>
    <w:p w14:paraId="2418DEE7">
      <w:pPr>
        <w:spacing w:line="440" w:lineRule="exact"/>
        <w:rPr>
          <w:rFonts w:ascii="Times New Roman" w:hAnsi="Times New Roman" w:cs="Times New Roman"/>
          <w:sz w:val="24"/>
          <w:szCs w:val="24"/>
        </w:rPr>
      </w:pPr>
      <w:r>
        <w:rPr>
          <w:rFonts w:ascii="Times New Roman" w:hAnsi="Times New Roman" w:cs="Times New Roman"/>
          <w:sz w:val="24"/>
          <w:szCs w:val="24"/>
        </w:rPr>
        <w:t>经营期限：</w:t>
      </w:r>
    </w:p>
    <w:p w14:paraId="1927746C">
      <w:pPr>
        <w:spacing w:line="440" w:lineRule="exact"/>
        <w:rPr>
          <w:rFonts w:ascii="Times New Roman" w:hAnsi="Times New Roman" w:cs="Times New Roman"/>
          <w:sz w:val="24"/>
          <w:szCs w:val="24"/>
        </w:rPr>
      </w:pPr>
      <w:r>
        <w:rPr>
          <w:rFonts w:ascii="Times New Roman" w:hAnsi="Times New Roman" w:cs="Times New Roman"/>
          <w:sz w:val="24"/>
          <w:szCs w:val="24"/>
        </w:rPr>
        <w:t>姓名：性别：年龄：职务：</w:t>
      </w:r>
    </w:p>
    <w:p w14:paraId="0DE730D0">
      <w:pPr>
        <w:spacing w:line="440" w:lineRule="exact"/>
        <w:rPr>
          <w:rFonts w:ascii="Times New Roman" w:hAnsi="Times New Roman" w:cs="Times New Roman"/>
          <w:sz w:val="24"/>
          <w:szCs w:val="24"/>
        </w:rPr>
      </w:pPr>
      <w:r>
        <w:rPr>
          <w:rFonts w:ascii="Times New Roman" w:hAnsi="Times New Roman" w:cs="Times New Roman"/>
          <w:sz w:val="24"/>
          <w:szCs w:val="24"/>
        </w:rPr>
        <w:t xml:space="preserve">系 </w:t>
      </w:r>
      <w:r>
        <w:rPr>
          <w:rFonts w:hint="eastAsia" w:ascii="Times New Roman" w:hAnsi="Times New Roman" w:cs="Times New Roman"/>
          <w:sz w:val="24"/>
          <w:szCs w:val="24"/>
          <w:lang w:eastAsia="zh-CN"/>
        </w:rPr>
        <w:t>（</w:t>
      </w:r>
      <w:r>
        <w:rPr>
          <w:rFonts w:ascii="Times New Roman" w:hAnsi="Times New Roman" w:cs="Times New Roman"/>
          <w:sz w:val="24"/>
          <w:szCs w:val="24"/>
        </w:rPr>
        <w:t>供应商名称</w:t>
      </w:r>
      <w:r>
        <w:rPr>
          <w:rFonts w:hint="eastAsia" w:ascii="Times New Roman" w:hAnsi="Times New Roman" w:cs="Times New Roman"/>
          <w:sz w:val="24"/>
          <w:szCs w:val="24"/>
          <w:lang w:eastAsia="zh-CN"/>
        </w:rPr>
        <w:t>）</w:t>
      </w:r>
      <w:r>
        <w:rPr>
          <w:rFonts w:ascii="Times New Roman" w:hAnsi="Times New Roman" w:cs="Times New Roman"/>
          <w:sz w:val="24"/>
          <w:szCs w:val="24"/>
        </w:rPr>
        <w:t>的法定代表人。</w:t>
      </w:r>
    </w:p>
    <w:p w14:paraId="2673DFAB">
      <w:pPr>
        <w:spacing w:line="440" w:lineRule="exact"/>
        <w:ind w:firstLine="480" w:firstLineChars="200"/>
        <w:rPr>
          <w:rFonts w:ascii="Times New Roman" w:hAnsi="Times New Roman" w:cs="Times New Roman"/>
          <w:sz w:val="24"/>
          <w:szCs w:val="24"/>
        </w:rPr>
      </w:pPr>
      <w:r>
        <w:rPr>
          <w:rFonts w:ascii="Times New Roman" w:hAnsi="Times New Roman" w:cs="Times New Roman"/>
          <w:sz w:val="24"/>
          <w:szCs w:val="24"/>
        </w:rPr>
        <w:t>附：法定代表人</w:t>
      </w:r>
      <w:r>
        <w:rPr>
          <w:rFonts w:hint="eastAsia" w:ascii="Times New Roman" w:hAnsi="Times New Roman" w:cs="Times New Roman"/>
          <w:sz w:val="24"/>
          <w:szCs w:val="24"/>
        </w:rPr>
        <w:t>身份证正反面复印件</w:t>
      </w:r>
    </w:p>
    <w:p w14:paraId="45420432">
      <w:pPr>
        <w:spacing w:line="440" w:lineRule="exact"/>
        <w:ind w:firstLine="480" w:firstLineChars="200"/>
        <w:rPr>
          <w:rFonts w:ascii="Times New Roman" w:hAnsi="Times New Roman" w:cs="Times New Roman"/>
          <w:sz w:val="24"/>
          <w:szCs w:val="24"/>
        </w:rPr>
      </w:pPr>
    </w:p>
    <w:p w14:paraId="3FC5D709">
      <w:pPr>
        <w:spacing w:line="440" w:lineRule="exact"/>
        <w:ind w:firstLine="480" w:firstLineChars="200"/>
        <w:rPr>
          <w:rFonts w:ascii="Times New Roman" w:hAnsi="Times New Roman" w:cs="Times New Roman"/>
          <w:sz w:val="24"/>
          <w:szCs w:val="24"/>
        </w:rPr>
      </w:pPr>
      <w:r>
        <w:rPr>
          <w:rFonts w:ascii="Times New Roman" w:hAnsi="Times New Roman" w:cs="Times New Roman"/>
          <w:sz w:val="24"/>
          <w:szCs w:val="24"/>
        </w:rPr>
        <w:t>特此证明。</w:t>
      </w:r>
    </w:p>
    <w:p w14:paraId="731CDE95">
      <w:pPr>
        <w:spacing w:line="440" w:lineRule="exact"/>
        <w:rPr>
          <w:rFonts w:ascii="Times New Roman" w:hAnsi="Times New Roman" w:cs="Times New Roman"/>
          <w:sz w:val="24"/>
          <w:szCs w:val="24"/>
        </w:rPr>
      </w:pPr>
    </w:p>
    <w:p w14:paraId="6383E158">
      <w:pPr>
        <w:spacing w:line="440" w:lineRule="exact"/>
        <w:rPr>
          <w:rFonts w:ascii="Times New Roman" w:hAnsi="Times New Roman" w:cs="Times New Roman"/>
          <w:sz w:val="24"/>
          <w:szCs w:val="24"/>
        </w:rPr>
      </w:pPr>
    </w:p>
    <w:p w14:paraId="33A6F474">
      <w:pPr>
        <w:spacing w:line="440" w:lineRule="exact"/>
        <w:ind w:firstLine="5520" w:firstLineChars="2300"/>
        <w:rPr>
          <w:rFonts w:hint="eastAsia" w:ascii="Times New Roman" w:hAnsi="Times New Roman" w:cs="Times New Roman" w:eastAsiaTheme="minorEastAsia"/>
          <w:sz w:val="24"/>
          <w:szCs w:val="24"/>
          <w:lang w:eastAsia="zh-CN"/>
        </w:rPr>
      </w:pPr>
      <w:r>
        <w:rPr>
          <w:rFonts w:ascii="Times New Roman" w:hAnsi="Times New Roman" w:cs="Times New Roman"/>
          <w:sz w:val="24"/>
          <w:szCs w:val="24"/>
        </w:rPr>
        <w:t>供应商：</w:t>
      </w:r>
      <w:r>
        <w:rPr>
          <w:rFonts w:hint="eastAsia" w:ascii="Times New Roman" w:hAnsi="Times New Roman" w:cs="Times New Roman"/>
          <w:sz w:val="24"/>
          <w:szCs w:val="24"/>
          <w:lang w:eastAsia="zh-CN"/>
        </w:rPr>
        <w:t>（</w:t>
      </w:r>
      <w:r>
        <w:rPr>
          <w:rFonts w:ascii="Times New Roman" w:hAnsi="Times New Roman" w:cs="Times New Roman"/>
          <w:sz w:val="24"/>
          <w:szCs w:val="24"/>
        </w:rPr>
        <w:t>盖单位章</w:t>
      </w:r>
      <w:r>
        <w:rPr>
          <w:rFonts w:hint="eastAsia" w:ascii="Times New Roman" w:hAnsi="Times New Roman" w:cs="Times New Roman"/>
          <w:sz w:val="24"/>
          <w:szCs w:val="24"/>
          <w:lang w:eastAsia="zh-CN"/>
        </w:rPr>
        <w:t>）</w:t>
      </w:r>
    </w:p>
    <w:p w14:paraId="2611213D">
      <w:pPr>
        <w:spacing w:line="440" w:lineRule="exact"/>
        <w:ind w:firstLine="6480" w:firstLineChars="2700"/>
        <w:rPr>
          <w:rFonts w:ascii="Times New Roman" w:hAnsi="Times New Roman" w:cs="Times New Roman"/>
          <w:sz w:val="24"/>
          <w:szCs w:val="24"/>
        </w:rPr>
      </w:pPr>
      <w:r>
        <w:rPr>
          <w:rFonts w:ascii="Times New Roman" w:hAnsi="Times New Roman" w:cs="Times New Roman"/>
          <w:sz w:val="24"/>
          <w:szCs w:val="24"/>
        </w:rPr>
        <w:t>年</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月</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日</w:t>
      </w:r>
    </w:p>
    <w:p w14:paraId="558A1584">
      <w:pPr>
        <w:topLinePunct/>
        <w:spacing w:line="440" w:lineRule="exact"/>
        <w:rPr>
          <w:rFonts w:ascii="Times New Roman" w:hAnsi="Times New Roman" w:eastAsia="黑体" w:cs="Times New Roman"/>
          <w:sz w:val="24"/>
        </w:rPr>
      </w:pPr>
    </w:p>
    <w:p w14:paraId="07A91E0A">
      <w:pPr>
        <w:topLinePunct/>
        <w:spacing w:line="440" w:lineRule="exact"/>
        <w:rPr>
          <w:rFonts w:ascii="Times New Roman" w:hAnsi="Times New Roman" w:eastAsia="黑体" w:cs="Times New Roman"/>
          <w:sz w:val="24"/>
        </w:rPr>
      </w:pPr>
    </w:p>
    <w:p w14:paraId="4D80F86B">
      <w:pPr>
        <w:topLinePunct/>
        <w:spacing w:line="440" w:lineRule="exact"/>
        <w:rPr>
          <w:rFonts w:ascii="Times New Roman" w:hAnsi="Times New Roman" w:eastAsia="黑体" w:cs="Times New Roman"/>
          <w:sz w:val="24"/>
        </w:rPr>
      </w:pPr>
    </w:p>
    <w:p w14:paraId="0427621F">
      <w:pPr>
        <w:topLinePunct/>
        <w:spacing w:line="440" w:lineRule="exact"/>
        <w:rPr>
          <w:rFonts w:ascii="Times New Roman" w:hAnsi="Times New Roman" w:eastAsia="黑体" w:cs="Times New Roman"/>
          <w:sz w:val="24"/>
        </w:rPr>
      </w:pPr>
    </w:p>
    <w:p w14:paraId="7EE1B603">
      <w:pPr>
        <w:topLinePunct/>
        <w:spacing w:line="440" w:lineRule="exact"/>
        <w:rPr>
          <w:rFonts w:ascii="Times New Roman" w:hAnsi="Times New Roman" w:eastAsia="黑体" w:cs="Times New Roman"/>
          <w:sz w:val="24"/>
        </w:rPr>
      </w:pPr>
    </w:p>
    <w:p w14:paraId="3099FDC0">
      <w:pPr>
        <w:topLinePunct/>
        <w:spacing w:line="440" w:lineRule="exact"/>
        <w:ind w:left="315" w:hanging="315" w:hangingChars="150"/>
        <w:rPr>
          <w:rFonts w:ascii="Times New Roman" w:hAnsi="Times New Roman" w:eastAsia="黑体" w:cs="Times New Roman"/>
          <w:szCs w:val="21"/>
        </w:rPr>
      </w:pPr>
    </w:p>
    <w:p w14:paraId="78853C11">
      <w:pPr>
        <w:topLinePunct/>
        <w:spacing w:line="440" w:lineRule="exact"/>
        <w:ind w:left="315" w:hanging="315" w:hangingChars="150"/>
        <w:rPr>
          <w:rFonts w:ascii="Times New Roman" w:hAnsi="Times New Roman" w:eastAsia="黑体" w:cs="Times New Roman"/>
          <w:bCs/>
          <w:szCs w:val="21"/>
        </w:rPr>
      </w:pPr>
    </w:p>
    <w:p w14:paraId="0321B25C">
      <w:pPr>
        <w:spacing w:line="440" w:lineRule="exact"/>
        <w:jc w:val="center"/>
        <w:rPr>
          <w:rFonts w:hint="eastAsia" w:asciiTheme="minorEastAsia" w:hAnsiTheme="minorEastAsia" w:eastAsiaTheme="minorEastAsia" w:cstheme="minorEastAsia"/>
          <w:b/>
          <w:bCs w:val="0"/>
          <w:sz w:val="28"/>
          <w:szCs w:val="28"/>
        </w:rPr>
      </w:pPr>
      <w:r>
        <w:rPr>
          <w:rFonts w:ascii="Times New Roman" w:hAnsi="Times New Roman" w:eastAsia="黑体" w:cs="Times New Roman"/>
          <w:sz w:val="24"/>
        </w:rPr>
        <w:br w:type="page"/>
      </w:r>
      <w:bookmarkStart w:id="139" w:name="_Toc19768_WPSOffice_Level2"/>
      <w:bookmarkStart w:id="140" w:name="_Toc12035_WPSOffice_Level2"/>
      <w:r>
        <w:rPr>
          <w:rFonts w:hint="eastAsia" w:asciiTheme="minorEastAsia" w:hAnsiTheme="minorEastAsia" w:eastAsiaTheme="minorEastAsia" w:cstheme="minorEastAsia"/>
          <w:b/>
          <w:bCs w:val="0"/>
          <w:sz w:val="28"/>
          <w:szCs w:val="28"/>
        </w:rPr>
        <w:t>2-2 授权委托书</w:t>
      </w:r>
      <w:bookmarkEnd w:id="139"/>
      <w:bookmarkEnd w:id="140"/>
    </w:p>
    <w:p w14:paraId="3AF0D8DB">
      <w:pPr>
        <w:spacing w:line="440" w:lineRule="exact"/>
        <w:rPr>
          <w:rFonts w:ascii="Times New Roman" w:hAnsi="Times New Roman" w:eastAsia="黑体" w:cs="Times New Roman"/>
          <w:sz w:val="24"/>
        </w:rPr>
      </w:pPr>
    </w:p>
    <w:p w14:paraId="05170345">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1763E200">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5A31FBEF">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51ED632">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EB82FDA">
      <w:pPr>
        <w:spacing w:line="440" w:lineRule="exact"/>
        <w:ind w:firstLine="480" w:firstLineChars="200"/>
        <w:rPr>
          <w:rFonts w:ascii="Times New Roman" w:hAnsi="Times New Roman" w:cs="Times New Roman"/>
          <w:sz w:val="24"/>
        </w:rPr>
      </w:pPr>
    </w:p>
    <w:p w14:paraId="2C94484A">
      <w:pPr>
        <w:spacing w:line="440" w:lineRule="exact"/>
        <w:rPr>
          <w:rFonts w:ascii="Times New Roman" w:hAnsi="Times New Roman" w:cs="Times New Roman"/>
          <w:sz w:val="24"/>
        </w:rPr>
      </w:pPr>
    </w:p>
    <w:p w14:paraId="6A83939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1A9A4B23">
      <w:pPr>
        <w:spacing w:line="440" w:lineRule="exact"/>
        <w:rPr>
          <w:rFonts w:ascii="Times New Roman" w:hAnsi="Times New Roman" w:cs="Times New Roman"/>
          <w:sz w:val="24"/>
        </w:rPr>
      </w:pPr>
    </w:p>
    <w:p w14:paraId="597E8099">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2D0781E">
      <w:pPr>
        <w:spacing w:line="440" w:lineRule="exact"/>
        <w:rPr>
          <w:rFonts w:ascii="Times New Roman" w:hAnsi="Times New Roman" w:cs="Times New Roman"/>
          <w:sz w:val="24"/>
        </w:rPr>
      </w:pPr>
    </w:p>
    <w:p w14:paraId="4C12A623">
      <w:pPr>
        <w:spacing w:line="440" w:lineRule="exact"/>
        <w:rPr>
          <w:rFonts w:ascii="Times New Roman" w:hAnsi="Times New Roman" w:cs="Times New Roman"/>
          <w:sz w:val="24"/>
        </w:rPr>
      </w:pPr>
      <w:r>
        <w:rPr>
          <w:rFonts w:ascii="Times New Roman" w:hAnsi="Times New Roman" w:cs="Times New Roman"/>
          <w:sz w:val="24"/>
        </w:rPr>
        <w:t>身份证号码：</w:t>
      </w:r>
    </w:p>
    <w:p w14:paraId="7459706A">
      <w:pPr>
        <w:spacing w:line="440" w:lineRule="exact"/>
        <w:rPr>
          <w:rFonts w:ascii="Times New Roman" w:hAnsi="Times New Roman" w:cs="Times New Roman"/>
          <w:sz w:val="24"/>
        </w:rPr>
      </w:pPr>
    </w:p>
    <w:p w14:paraId="3D4E66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6C007882">
      <w:pPr>
        <w:spacing w:line="440" w:lineRule="exact"/>
        <w:rPr>
          <w:rFonts w:ascii="Times New Roman" w:hAnsi="Times New Roman" w:cs="Times New Roman"/>
          <w:sz w:val="24"/>
        </w:rPr>
      </w:pPr>
    </w:p>
    <w:p w14:paraId="732E3207">
      <w:pPr>
        <w:spacing w:line="440" w:lineRule="exact"/>
        <w:rPr>
          <w:rFonts w:ascii="Times New Roman" w:hAnsi="Times New Roman" w:cs="Times New Roman"/>
          <w:sz w:val="24"/>
        </w:rPr>
      </w:pPr>
      <w:r>
        <w:rPr>
          <w:rFonts w:ascii="Times New Roman" w:hAnsi="Times New Roman" w:cs="Times New Roman"/>
          <w:sz w:val="24"/>
        </w:rPr>
        <w:t>身份证号码：</w:t>
      </w:r>
    </w:p>
    <w:p w14:paraId="24EBBD0E">
      <w:pPr>
        <w:spacing w:line="440" w:lineRule="exact"/>
        <w:rPr>
          <w:rFonts w:ascii="Times New Roman" w:hAnsi="Times New Roman" w:cs="Times New Roman"/>
          <w:sz w:val="24"/>
        </w:rPr>
      </w:pPr>
    </w:p>
    <w:p w14:paraId="1C556769">
      <w:pPr>
        <w:spacing w:line="440" w:lineRule="exact"/>
        <w:rPr>
          <w:rFonts w:ascii="Times New Roman" w:hAnsi="Times New Roman" w:cs="Times New Roman"/>
          <w:sz w:val="24"/>
        </w:rPr>
      </w:pPr>
    </w:p>
    <w:p w14:paraId="75DA70BC">
      <w:pPr>
        <w:spacing w:line="440" w:lineRule="exact"/>
        <w:ind w:firstLine="7080" w:firstLineChars="2950"/>
        <w:rPr>
          <w:rFonts w:ascii="Times New Roman" w:hAnsi="Times New Roman" w:eastAsia="黑体" w:cs="Times New Roman"/>
          <w:sz w:val="24"/>
        </w:rPr>
      </w:pPr>
      <w:r>
        <w:rPr>
          <w:rFonts w:ascii="Times New Roman" w:hAnsi="Times New Roman" w:cs="Times New Roman"/>
          <w:sz w:val="24"/>
        </w:rPr>
        <w:t>年</w:t>
      </w:r>
      <w:r>
        <w:rPr>
          <w:rFonts w:hint="eastAsia" w:ascii="Times New Roman" w:hAnsi="Times New Roman" w:cs="Times New Roman"/>
          <w:sz w:val="24"/>
          <w:lang w:val="en-US" w:eastAsia="zh-CN"/>
        </w:rPr>
        <w:t xml:space="preserve">    </w:t>
      </w:r>
      <w:r>
        <w:rPr>
          <w:rFonts w:ascii="Times New Roman" w:hAnsi="Times New Roman" w:cs="Times New Roman"/>
          <w:sz w:val="24"/>
        </w:rPr>
        <w:t>月</w:t>
      </w:r>
      <w:r>
        <w:rPr>
          <w:rFonts w:hint="eastAsia" w:ascii="Times New Roman" w:hAnsi="Times New Roman" w:cs="Times New Roman"/>
          <w:sz w:val="24"/>
          <w:lang w:val="en-US" w:eastAsia="zh-CN"/>
        </w:rPr>
        <w:t xml:space="preserve">     </w:t>
      </w:r>
      <w:r>
        <w:rPr>
          <w:rFonts w:ascii="Times New Roman" w:hAnsi="Times New Roman" w:cs="Times New Roman"/>
          <w:sz w:val="24"/>
        </w:rPr>
        <w:t>日</w:t>
      </w:r>
    </w:p>
    <w:p w14:paraId="3DF7E0BA">
      <w:pPr>
        <w:spacing w:line="440" w:lineRule="exact"/>
        <w:rPr>
          <w:rFonts w:ascii="Times New Roman" w:hAnsi="Times New Roman" w:eastAsia="黑体" w:cs="Times New Roman"/>
          <w:sz w:val="24"/>
        </w:rPr>
      </w:pPr>
    </w:p>
    <w:p w14:paraId="1C864E19">
      <w:pPr>
        <w:pStyle w:val="5"/>
        <w:rPr>
          <w:rFonts w:ascii="Times New Roman" w:hAnsi="Times New Roman" w:eastAsia="黑体" w:cs="Times New Roman"/>
          <w:sz w:val="24"/>
        </w:rPr>
      </w:pPr>
    </w:p>
    <w:p w14:paraId="554DF176">
      <w:pPr>
        <w:pStyle w:val="5"/>
        <w:rPr>
          <w:rFonts w:ascii="Times New Roman" w:hAnsi="Times New Roman" w:eastAsia="黑体" w:cs="Times New Roman"/>
          <w:sz w:val="24"/>
        </w:rPr>
      </w:pPr>
    </w:p>
    <w:p w14:paraId="787687C9">
      <w:pPr>
        <w:pStyle w:val="5"/>
        <w:rPr>
          <w:rFonts w:ascii="Times New Roman" w:hAnsi="Times New Roman" w:eastAsia="黑体" w:cs="Times New Roman"/>
          <w:sz w:val="24"/>
        </w:rPr>
      </w:pPr>
    </w:p>
    <w:p w14:paraId="2007F9E3">
      <w:pPr>
        <w:pStyle w:val="5"/>
        <w:rPr>
          <w:rFonts w:ascii="Times New Roman" w:hAnsi="Times New Roman" w:eastAsia="黑体" w:cs="Times New Roman"/>
          <w:sz w:val="24"/>
        </w:rPr>
      </w:pPr>
    </w:p>
    <w:p w14:paraId="4B8B6858">
      <w:pPr>
        <w:pStyle w:val="5"/>
        <w:rPr>
          <w:rFonts w:ascii="Times New Roman" w:hAnsi="Times New Roman" w:eastAsia="黑体" w:cs="Times New Roman"/>
          <w:sz w:val="24"/>
        </w:rPr>
      </w:pPr>
    </w:p>
    <w:p w14:paraId="55372EF9">
      <w:pPr>
        <w:pStyle w:val="5"/>
        <w:rPr>
          <w:rFonts w:ascii="Times New Roman" w:hAnsi="Times New Roman" w:eastAsia="黑体" w:cs="Times New Roman"/>
          <w:sz w:val="24"/>
        </w:rPr>
      </w:pPr>
    </w:p>
    <w:p w14:paraId="6ABA958A">
      <w:pPr>
        <w:pStyle w:val="5"/>
        <w:rPr>
          <w:rFonts w:ascii="Times New Roman" w:hAnsi="Times New Roman" w:eastAsia="黑体" w:cs="Times New Roman"/>
          <w:sz w:val="24"/>
        </w:rPr>
      </w:pPr>
    </w:p>
    <w:p w14:paraId="63E9F595">
      <w:pPr>
        <w:pStyle w:val="5"/>
        <w:rPr>
          <w:rFonts w:ascii="Times New Roman" w:hAnsi="Times New Roman" w:eastAsia="黑体" w:cs="Times New Roman"/>
          <w:sz w:val="24"/>
        </w:rPr>
      </w:pPr>
    </w:p>
    <w:p w14:paraId="15F9D93A">
      <w:pPr>
        <w:pStyle w:val="5"/>
        <w:rPr>
          <w:rFonts w:ascii="Times New Roman" w:hAnsi="Times New Roman" w:eastAsia="黑体" w:cs="Times New Roman"/>
          <w:sz w:val="24"/>
        </w:rPr>
      </w:pPr>
    </w:p>
    <w:p w14:paraId="48EA175A">
      <w:pPr>
        <w:spacing w:line="440" w:lineRule="exact"/>
        <w:jc w:val="center"/>
        <w:rPr>
          <w:rFonts w:ascii="宋体" w:hAnsi="宋体" w:eastAsia="宋体" w:cs="宋体"/>
          <w:b/>
          <w:sz w:val="32"/>
          <w:szCs w:val="32"/>
        </w:rPr>
      </w:pPr>
      <w:r>
        <w:rPr>
          <w:rFonts w:hint="eastAsia" w:ascii="宋体" w:hAnsi="宋体" w:eastAsia="宋体" w:cs="宋体"/>
          <w:b/>
          <w:sz w:val="28"/>
          <w:szCs w:val="28"/>
        </w:rPr>
        <w:t>2-3承诺函</w:t>
      </w:r>
    </w:p>
    <w:p w14:paraId="1DE40043">
      <w:pPr>
        <w:spacing w:line="360" w:lineRule="auto"/>
        <w:rPr>
          <w:rFonts w:ascii="宋体" w:hAnsi="宋体" w:eastAsia="宋体" w:cs="宋体"/>
          <w:szCs w:val="21"/>
        </w:rPr>
      </w:pPr>
    </w:p>
    <w:p w14:paraId="11DCFA6C">
      <w:pPr>
        <w:spacing w:line="360" w:lineRule="auto"/>
        <w:rPr>
          <w:rFonts w:ascii="宋体" w:hAnsi="宋体" w:eastAsia="宋体" w:cs="宋体"/>
          <w:sz w:val="24"/>
          <w:szCs w:val="24"/>
        </w:rPr>
      </w:pPr>
      <w:r>
        <w:rPr>
          <w:rFonts w:hint="eastAsia" w:ascii="宋体" w:hAnsi="宋体" w:eastAsia="宋体" w:cs="宋体"/>
          <w:sz w:val="24"/>
          <w:szCs w:val="24"/>
        </w:rPr>
        <w:t>致：安徽交运集团汽车销售有限公司：</w:t>
      </w:r>
    </w:p>
    <w:p w14:paraId="10C8AD52">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我方参加了的采购报价，若我方中标，我方在此承诺：</w:t>
      </w:r>
    </w:p>
    <w:p w14:paraId="39859F77">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一、保证遵循“自愿、诚实、公平”的原则与贵单位签订合同协议书，在履行合同期内认真执行《中华人民共和国合同法》。</w:t>
      </w:r>
    </w:p>
    <w:p w14:paraId="38DFEC42">
      <w:pPr>
        <w:spacing w:line="360"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二、</w:t>
      </w:r>
      <w:r>
        <w:rPr>
          <w:rFonts w:hint="eastAsia" w:ascii="宋体" w:hAnsi="宋体" w:eastAsia="宋体" w:cs="宋体"/>
          <w:sz w:val="24"/>
          <w:szCs w:val="24"/>
        </w:rPr>
        <w:t>我方承诺向贵单位提供合法有效的营业执照、税务登记证及生产许可证等必要证件。</w:t>
      </w:r>
      <w:r>
        <w:rPr>
          <w:rFonts w:hint="eastAsia" w:ascii="宋体" w:hAnsi="宋体" w:eastAsia="宋体" w:cs="宋体"/>
          <w:color w:val="000000"/>
          <w:sz w:val="24"/>
          <w:szCs w:val="24"/>
        </w:rPr>
        <w:t>我方所有供应货</w:t>
      </w:r>
      <w:r>
        <w:rPr>
          <w:rFonts w:hint="eastAsia" w:ascii="宋体" w:hAnsi="宋体" w:eastAsia="宋体" w:cs="宋体"/>
          <w:sz w:val="24"/>
          <w:szCs w:val="24"/>
        </w:rPr>
        <w:t>物都有合格的《质量检测报告》和相关的产品合格证，符合国家的相关规定；并保证所有证件真实、合法、有效。</w:t>
      </w:r>
    </w:p>
    <w:p w14:paraId="3BC4B663">
      <w:pPr>
        <w:spacing w:line="360"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三、</w:t>
      </w:r>
      <w:r>
        <w:rPr>
          <w:rFonts w:hint="eastAsia" w:ascii="宋体" w:hAnsi="宋体" w:eastAsia="宋体" w:cs="宋体"/>
          <w:sz w:val="24"/>
          <w:szCs w:val="24"/>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662CBE4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339C68D0">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五、对本询比采购项目所提供的货物符合贵单位的采购需求及技术要求，且我单位在贵单位无放弃中标或放弃履约等不良行为。否则将取消我单位的竞标资格。</w:t>
      </w:r>
    </w:p>
    <w:p w14:paraId="31585C1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我方理解采购人在任何时候对货物进行检验、测试。如我方提供的货物不能满足质量标准或由于我方未能履行合同等的原因，我方将无条件接受采购人中止我方的供货资格。</w:t>
      </w:r>
    </w:p>
    <w:p w14:paraId="6FE2F40D">
      <w:pPr>
        <w:spacing w:line="360" w:lineRule="auto"/>
        <w:ind w:firstLine="480" w:firstLineChars="200"/>
        <w:jc w:val="right"/>
        <w:rPr>
          <w:rFonts w:ascii="宋体" w:hAnsi="宋体" w:eastAsia="宋体" w:cs="宋体"/>
          <w:sz w:val="24"/>
          <w:szCs w:val="24"/>
        </w:rPr>
      </w:pPr>
    </w:p>
    <w:p w14:paraId="550D42BB">
      <w:pPr>
        <w:spacing w:line="360" w:lineRule="auto"/>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报价人：  </w:t>
      </w:r>
      <w:r>
        <w:rPr>
          <w:rFonts w:hint="eastAsia" w:ascii="宋体" w:hAnsi="宋体" w:eastAsia="宋体" w:cs="宋体"/>
          <w:sz w:val="24"/>
          <w:szCs w:val="24"/>
          <w:lang w:eastAsia="zh-CN"/>
        </w:rPr>
        <w:t>（</w:t>
      </w:r>
      <w:r>
        <w:rPr>
          <w:rFonts w:hint="eastAsia" w:ascii="宋体" w:hAnsi="宋体" w:eastAsia="宋体" w:cs="宋体"/>
          <w:sz w:val="24"/>
          <w:szCs w:val="24"/>
        </w:rPr>
        <w:t>盖单位章</w:t>
      </w:r>
      <w:r>
        <w:rPr>
          <w:rFonts w:hint="eastAsia" w:ascii="宋体" w:hAnsi="宋体" w:eastAsia="宋体" w:cs="宋体"/>
          <w:sz w:val="24"/>
          <w:szCs w:val="24"/>
          <w:lang w:eastAsia="zh-CN"/>
        </w:rPr>
        <w:t>）</w:t>
      </w:r>
    </w:p>
    <w:p w14:paraId="6AF6F737">
      <w:pPr>
        <w:spacing w:line="360" w:lineRule="auto"/>
        <w:ind w:firstLine="480" w:firstLineChars="20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报价人法定代表人或其委托代理人：</w:t>
      </w:r>
      <w:r>
        <w:rPr>
          <w:rFonts w:hint="eastAsia" w:ascii="宋体" w:hAnsi="宋体" w:eastAsia="宋体" w:cs="宋体"/>
          <w:sz w:val="24"/>
          <w:szCs w:val="24"/>
          <w:lang w:eastAsia="zh-CN"/>
        </w:rPr>
        <w:t>（</w:t>
      </w:r>
      <w:r>
        <w:rPr>
          <w:rFonts w:hint="eastAsia" w:ascii="宋体" w:hAnsi="宋体" w:eastAsia="宋体" w:cs="宋体"/>
          <w:sz w:val="24"/>
          <w:szCs w:val="24"/>
        </w:rPr>
        <w:t>签字</w:t>
      </w:r>
      <w:r>
        <w:rPr>
          <w:rFonts w:hint="eastAsia" w:ascii="宋体" w:hAnsi="宋体" w:eastAsia="宋体" w:cs="宋体"/>
          <w:sz w:val="24"/>
          <w:szCs w:val="24"/>
          <w:lang w:eastAsia="zh-CN"/>
        </w:rPr>
        <w:t>）</w:t>
      </w:r>
    </w:p>
    <w:p w14:paraId="7843E68D">
      <w:pPr>
        <w:spacing w:line="360" w:lineRule="auto"/>
        <w:ind w:firstLine="480" w:firstLineChars="200"/>
        <w:rPr>
          <w:rFonts w:ascii="宋体" w:hAnsi="宋体" w:eastAsia="宋体" w:cs="宋体"/>
          <w:sz w:val="24"/>
          <w:szCs w:val="24"/>
        </w:rPr>
      </w:pPr>
    </w:p>
    <w:p w14:paraId="38A56326">
      <w:pPr>
        <w:spacing w:line="360" w:lineRule="auto"/>
        <w:jc w:val="right"/>
        <w:rPr>
          <w:rFonts w:ascii="宋体" w:hAnsi="宋体" w:eastAsia="宋体" w:cs="宋体"/>
          <w:sz w:val="24"/>
          <w:szCs w:val="24"/>
        </w:rPr>
      </w:pP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14:paraId="4E41B7C7">
      <w:pPr>
        <w:spacing w:line="440" w:lineRule="exact"/>
        <w:jc w:val="center"/>
        <w:rPr>
          <w:rFonts w:ascii="宋体" w:hAnsi="宋体" w:eastAsia="宋体" w:cs="宋体"/>
          <w:b/>
          <w:bCs/>
          <w:sz w:val="32"/>
          <w:szCs w:val="32"/>
        </w:rPr>
      </w:pPr>
    </w:p>
    <w:p w14:paraId="216E77A1">
      <w:pPr>
        <w:pStyle w:val="5"/>
        <w:rPr>
          <w:rFonts w:ascii="Times New Roman" w:hAnsi="Times New Roman" w:eastAsia="黑体" w:cs="Times New Roman"/>
          <w:sz w:val="24"/>
        </w:rPr>
      </w:pPr>
    </w:p>
    <w:p w14:paraId="7BA41AB1">
      <w:pPr>
        <w:spacing w:line="360" w:lineRule="exact"/>
        <w:ind w:left="360" w:hanging="360" w:hangingChars="200"/>
        <w:rPr>
          <w:rFonts w:ascii="Times New Roman" w:hAnsi="Times New Roman" w:eastAsia="黑体" w:cs="Times New Roman"/>
          <w:sz w:val="18"/>
          <w:szCs w:val="18"/>
        </w:rPr>
        <w:sectPr>
          <w:pgSz w:w="11906" w:h="16838"/>
          <w:pgMar w:top="1440" w:right="1274" w:bottom="1440" w:left="1276" w:header="851" w:footer="992" w:gutter="0"/>
          <w:cols w:space="425" w:num="1"/>
          <w:docGrid w:type="lines" w:linePitch="312" w:charSpace="0"/>
        </w:sectPr>
      </w:pPr>
    </w:p>
    <w:p w14:paraId="3FC02A33">
      <w:pPr>
        <w:numPr>
          <w:ilvl w:val="0"/>
          <w:numId w:val="0"/>
        </w:numPr>
        <w:spacing w:line="360" w:lineRule="exact"/>
        <w:ind w:leftChars="0"/>
        <w:jc w:val="center"/>
        <w:rPr>
          <w:rFonts w:hint="eastAsia" w:asciiTheme="minorEastAsia" w:hAnsiTheme="minorEastAsia" w:eastAsiaTheme="minorEastAsia" w:cstheme="minorEastAsia"/>
          <w:b/>
          <w:bCs/>
          <w:sz w:val="28"/>
          <w:szCs w:val="28"/>
        </w:rPr>
      </w:pPr>
      <w:r>
        <w:rPr>
          <w:rFonts w:hint="eastAsia" w:asciiTheme="minorEastAsia" w:hAnsiTheme="minorEastAsia" w:cstheme="minorEastAsia"/>
          <w:b/>
          <w:bCs/>
          <w:sz w:val="28"/>
          <w:szCs w:val="28"/>
          <w:lang w:eastAsia="zh-CN"/>
        </w:rPr>
        <w:t>三、</w:t>
      </w:r>
      <w:r>
        <w:rPr>
          <w:rFonts w:hint="eastAsia" w:asciiTheme="minorEastAsia" w:hAnsiTheme="minorEastAsia" w:eastAsiaTheme="minorEastAsia" w:cstheme="minorEastAsia"/>
          <w:b/>
          <w:bCs/>
          <w:sz w:val="28"/>
          <w:szCs w:val="28"/>
        </w:rPr>
        <w:t>已标价的报价清单（</w:t>
      </w:r>
      <w:r>
        <w:rPr>
          <w:rFonts w:hint="eastAsia" w:asciiTheme="minorEastAsia" w:hAnsiTheme="minorEastAsia" w:eastAsiaTheme="minorEastAsia" w:cstheme="minorEastAsia"/>
          <w:b/>
          <w:bCs/>
          <w:sz w:val="28"/>
          <w:szCs w:val="28"/>
          <w:lang w:val="en-US" w:eastAsia="zh-CN"/>
        </w:rPr>
        <w:t xml:space="preserve">   标</w:t>
      </w:r>
      <w:r>
        <w:rPr>
          <w:rFonts w:hint="eastAsia" w:asciiTheme="minorEastAsia" w:hAnsiTheme="minorEastAsia" w:eastAsiaTheme="minorEastAsia" w:cstheme="minorEastAsia"/>
          <w:b/>
          <w:bCs/>
          <w:sz w:val="28"/>
          <w:szCs w:val="28"/>
        </w:rPr>
        <w:t>）</w:t>
      </w:r>
    </w:p>
    <w:p w14:paraId="6EFE2B59">
      <w:pPr>
        <w:widowControl w:val="0"/>
        <w:numPr>
          <w:ilvl w:val="0"/>
          <w:numId w:val="0"/>
        </w:numPr>
        <w:spacing w:line="360" w:lineRule="exact"/>
        <w:jc w:val="both"/>
        <w:rPr>
          <w:rFonts w:hint="eastAsia" w:asciiTheme="minorEastAsia" w:hAnsiTheme="minorEastAsia" w:eastAsiaTheme="minorEastAsia" w:cstheme="minorEastAsia"/>
          <w:b/>
          <w:bCs/>
          <w:sz w:val="28"/>
          <w:szCs w:val="28"/>
        </w:rPr>
      </w:pPr>
    </w:p>
    <w:tbl>
      <w:tblPr>
        <w:tblStyle w:val="16"/>
        <w:tblW w:w="5577" w:type="pct"/>
        <w:tblInd w:w="-8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7"/>
        <w:gridCol w:w="996"/>
        <w:gridCol w:w="2082"/>
        <w:gridCol w:w="6924"/>
        <w:gridCol w:w="759"/>
        <w:gridCol w:w="559"/>
        <w:gridCol w:w="637"/>
        <w:gridCol w:w="1397"/>
        <w:gridCol w:w="1689"/>
      </w:tblGrid>
      <w:tr w14:paraId="5AF73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7725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4F3E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6293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规格型号（mm）</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15DC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材质说明</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9776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颜色</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5E1A2">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A1B7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FB5E4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D4F7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w:t>
            </w:r>
          </w:p>
        </w:tc>
      </w:tr>
      <w:tr w14:paraId="442C1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C43D91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一层门厅</w:t>
            </w:r>
          </w:p>
        </w:tc>
      </w:tr>
      <w:tr w14:paraId="5F48F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64"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36E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429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沙发</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CBA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W2380*D940*H690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E4E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   料：采用优质西皮覆面，经筛选和特殊处理，具有虻孔少、皮质细腻、透气性能好、耐腐蚀等特点，长时间使用，不松弛，无断裂。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2、海   绵：采用高密度PU成型发海绵、及高密度裁切发海绵，反复坐压，不变形、不塌陷，防火性能优，阻燃性能良好。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3、弹   簧：高弹性蛇形弹簧及强力织带橡筋，蛇簧加载20000次无损。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4、脚   架：钢制脚架。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DFE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EEC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7B6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ED4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7CC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B238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9"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490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8DB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6F4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W1300*D700*H400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EF4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  质：采用环保岩板、宜清洗、防划痕，承重力强，尺寸稳定性好。强度高、刚性好、不变形，各种物理、化学性能指标均达到国家相关标准。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2、钢 脚：黑色喷涂钢架。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F73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26E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2DD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57D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6BD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60066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4465"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1BA75D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小计（元）</w:t>
            </w:r>
          </w:p>
        </w:tc>
        <w:tc>
          <w:tcPr>
            <w:tcW w:w="534" w:type="pct"/>
            <w:tcBorders>
              <w:top w:val="single" w:color="000000" w:sz="4" w:space="0"/>
              <w:left w:val="nil"/>
              <w:bottom w:val="single" w:color="000000" w:sz="4" w:space="0"/>
              <w:right w:val="single" w:color="000000" w:sz="4" w:space="0"/>
            </w:tcBorders>
            <w:shd w:val="clear" w:color="auto" w:fill="auto"/>
            <w:vAlign w:val="center"/>
          </w:tcPr>
          <w:p w14:paraId="4D698D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9D16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FE52F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一层大会议室</w:t>
            </w:r>
          </w:p>
        </w:tc>
      </w:tr>
      <w:tr w14:paraId="55C15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5"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E20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796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会议桌</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DEB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W10000*D2400*H760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ABBD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1、贴面用材：优质一级0.6mm厚天然木皮贴面，经过防虫防腐处理，耐磨性好，纹理清晰自然，色泽一致，实木封边。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   材：优质环保中密度纤维板，经过耐酸碱、防虫、防腐处理，含水率达到国家标准，抗弯力强，不易变形。各种物理、化学性能指标均达到国家相关标准。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3、油   漆：优质水性油漆，引用先进油漆工艺，五底三面，透明度高、附着力强，涂层亮度均匀不褪色，色泽柔和，手感良好。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4、配   件：优质五金配件。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5、备   注：桌面配置二个多媒体多功能插座。</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81A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95A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2CB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9FD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731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46DFE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8"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214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B241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会议</w:t>
            </w:r>
          </w:p>
          <w:p w14:paraId="6466E0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条桌</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742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W1400*D550*H760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5D6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1、贴面用材：优质一级0.6mm厚天然木皮贴面，经过防虫防腐处理，耐磨性好，纹理清晰自然，色泽一致，实木封边。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   材：优质环保中密度纤维板，经过耐酸碱、防虫、防腐处理，含水率达到国家标准，抗弯力强，不易变形。各种物理、化学性能指标均达到国家相关标准。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3、油   漆：优质水性油漆，引用先进油漆工艺，五底三面，透明度高、附着力强，涂层亮度均匀不褪色，色泽柔和，手感良好。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4、配   件：优质五金配件。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0CB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54E1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17C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228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C4F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922F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1"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B78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1B6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会议椅</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132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中背</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E53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    料：采用优质西皮覆面，经筛选和特殊处理，具有虻孔少、皮质细腻、透气性能好、耐腐蚀等特点，长时间使用，不松弛，无断裂。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2、海    绵：采用高密度PU成型发海绵、及高密度裁切发海绵，反复坐压，不变形、不塌陷，防火性能优，阻燃性能良好。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3、脚    架：钢制脚架，强度高、韧性好。</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B11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EEC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6C6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9C9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3CA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F9EE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0"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834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E0B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茶水柜</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23C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W1200*D400*H860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61CB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1、贴面用材：优质一级0.6mm厚天然木皮贴面，经过防虫防腐处理，耐磨性好，纹理清晰自然，色泽一致，实木封边。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    材：优质环保中密度纤维板，经过耐酸碱、防虫、防腐处理，含水率达到国家标准，抗弯力强，不易变形。各种物理、化学性能指标均达到国家相关标准。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3、油    漆：优质水性油漆，引用先进油漆工艺，五底三面，透明度高、附着力强，涂层亮度均匀不褪色，色泽柔和，手感良好。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4、配    件：优质五金配件。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A3F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C27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1DC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E24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F59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0F0EE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4465"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4B0CA6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小计（元）</w:t>
            </w:r>
          </w:p>
        </w:tc>
        <w:tc>
          <w:tcPr>
            <w:tcW w:w="534" w:type="pct"/>
            <w:tcBorders>
              <w:top w:val="single" w:color="000000" w:sz="4" w:space="0"/>
              <w:left w:val="nil"/>
              <w:bottom w:val="single" w:color="000000" w:sz="4" w:space="0"/>
              <w:right w:val="single" w:color="000000" w:sz="4" w:space="0"/>
            </w:tcBorders>
            <w:shd w:val="clear" w:color="auto" w:fill="auto"/>
            <w:vAlign w:val="center"/>
          </w:tcPr>
          <w:p w14:paraId="3CAA25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02C8D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8"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8485D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一层视频会议室</w:t>
            </w:r>
          </w:p>
        </w:tc>
      </w:tr>
      <w:tr w14:paraId="6DAB4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4"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B9D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D1E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会议条桌</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34E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W1200*D550*H760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D2F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  材：采用优质环保刨花板，三聚氰胺浸纸饰面，宜清洗、防划痕，承重力强，尺寸稳定性好。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2、工  艺：所有板件均双贴面、封四边，所有外部封边采用与板材颜色、纹理配套的优质激光封边条封边。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3、胶粘剂：采用优质胶粘剂。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4、脚  架：钢制脚架，带万向轮，壁厚大于2mm，强度高、韧性好。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5、备  注：配有钢制下挂档板，配钢制桌架可折叠，含书网。</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9D6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583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47A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F2F1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8ED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258AF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0"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FED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1BA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会议椅</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FC1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中背</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8937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    料：采用家具专业阻燃布艺，耐磨性强，并进行防火耐污处理。椅背为网状面料，弹性好、拉力强、透气性好，长时间使用，不松弛，无断裂。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2、海   绵：采用高密度PU成型发海绵、及高密度裁切发海绵，反复坐压，不变形、不塌陷，防火性能优，阻燃性能良好。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3、脚    架：钢制脚架、带塑料脚垫。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4、备    注：椅背为活动椅背，可折叠。</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2A7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F02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67E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635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390</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C3C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59478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4465"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38DC2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小计（元）</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066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4A57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2"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72831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一层接待室</w:t>
            </w:r>
          </w:p>
        </w:tc>
      </w:tr>
      <w:tr w14:paraId="31F95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4"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4BD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82B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接待沙发</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C08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单人位</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1C4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    料：采用优质西皮覆面，经筛选和特殊处理，具有虻孔少、皮质细腻、透气性能好、耐腐蚀等特点，长时间使用，不松弛，无断裂。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2、泡    绵：采用高密度PU成型发泡泡棉、及高密度裁切发泡泡棉，反复坐压，不变形、不塌陷，防火性能优，阻燃性能良好。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3、弹    簧：高弹性蛇形弹簧及强力织带橡筋，使用寿命长。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4、脚    架：钢制脚架。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044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53C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98B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195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BBB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1029D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20" w:hRule="atLeast"/>
        </w:trPr>
        <w:tc>
          <w:tcPr>
            <w:tcW w:w="242" w:type="pct"/>
            <w:tcBorders>
              <w:top w:val="single" w:color="000000" w:sz="4" w:space="0"/>
              <w:left w:val="single" w:color="000000" w:sz="4" w:space="0"/>
              <w:bottom w:val="single" w:color="auto" w:sz="4" w:space="0"/>
              <w:right w:val="single" w:color="000000" w:sz="4" w:space="0"/>
            </w:tcBorders>
            <w:shd w:val="clear" w:color="auto" w:fill="auto"/>
            <w:vAlign w:val="center"/>
          </w:tcPr>
          <w:p w14:paraId="598ACC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4" w:type="pct"/>
            <w:tcBorders>
              <w:top w:val="single" w:color="000000" w:sz="4" w:space="0"/>
              <w:left w:val="single" w:color="000000" w:sz="4" w:space="0"/>
              <w:bottom w:val="single" w:color="auto" w:sz="4" w:space="0"/>
              <w:right w:val="single" w:color="000000" w:sz="4" w:space="0"/>
            </w:tcBorders>
            <w:shd w:val="clear" w:color="auto" w:fill="auto"/>
            <w:vAlign w:val="center"/>
          </w:tcPr>
          <w:p w14:paraId="518EB3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658" w:type="pct"/>
            <w:tcBorders>
              <w:top w:val="single" w:color="000000" w:sz="4" w:space="0"/>
              <w:left w:val="single" w:color="000000" w:sz="4" w:space="0"/>
              <w:bottom w:val="single" w:color="auto" w:sz="4" w:space="0"/>
              <w:right w:val="single" w:color="000000" w:sz="4" w:space="0"/>
            </w:tcBorders>
            <w:shd w:val="clear" w:color="auto" w:fill="auto"/>
            <w:vAlign w:val="center"/>
          </w:tcPr>
          <w:p w14:paraId="20FE98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600W*400D*560H</w:t>
            </w:r>
          </w:p>
        </w:tc>
        <w:tc>
          <w:tcPr>
            <w:tcW w:w="2189" w:type="pct"/>
            <w:tcBorders>
              <w:top w:val="single" w:color="000000" w:sz="4" w:space="0"/>
              <w:left w:val="single" w:color="000000" w:sz="4" w:space="0"/>
              <w:bottom w:val="single" w:color="auto" w:sz="4" w:space="0"/>
              <w:right w:val="single" w:color="000000" w:sz="4" w:space="0"/>
            </w:tcBorders>
            <w:shd w:val="clear" w:color="auto" w:fill="auto"/>
            <w:vAlign w:val="center"/>
          </w:tcPr>
          <w:p w14:paraId="0CCCDF0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1、贴面用材：优质一级0.6mm厚天然木皮贴面，经过防虫防腐处理，耐磨性好，纹理清晰自然，色泽一致，实木封边。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    材：优质环保中密度纤维板，经过耐酸碱、防虫、防腐处理，含水率达到国家标准，抗弯力强，不易变形。各种物理、化学性能指标均达到国家相关标准；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3、油    漆：优质水性油漆，引用先进油漆工艺，五底三面，透明度高、附着力强，涂层亮度均匀不褪色，色泽柔和，手感良好。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4、脚    架：钢制脚架。</w:t>
            </w:r>
          </w:p>
        </w:tc>
        <w:tc>
          <w:tcPr>
            <w:tcW w:w="240" w:type="pct"/>
            <w:tcBorders>
              <w:top w:val="single" w:color="000000" w:sz="4" w:space="0"/>
              <w:left w:val="single" w:color="000000" w:sz="4" w:space="0"/>
              <w:bottom w:val="single" w:color="auto" w:sz="4" w:space="0"/>
              <w:right w:val="single" w:color="000000" w:sz="4" w:space="0"/>
            </w:tcBorders>
            <w:shd w:val="clear" w:color="auto" w:fill="auto"/>
            <w:vAlign w:val="center"/>
          </w:tcPr>
          <w:p w14:paraId="0E1F02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auto" w:sz="4" w:space="0"/>
              <w:right w:val="single" w:color="000000" w:sz="4" w:space="0"/>
            </w:tcBorders>
            <w:shd w:val="clear" w:color="auto" w:fill="auto"/>
            <w:vAlign w:val="center"/>
          </w:tcPr>
          <w:p w14:paraId="537A70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auto" w:sz="4" w:space="0"/>
              <w:right w:val="single" w:color="000000" w:sz="4" w:space="0"/>
            </w:tcBorders>
            <w:shd w:val="clear" w:color="auto" w:fill="auto"/>
            <w:vAlign w:val="center"/>
          </w:tcPr>
          <w:p w14:paraId="4CA476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41" w:type="pct"/>
            <w:tcBorders>
              <w:top w:val="single" w:color="000000" w:sz="4" w:space="0"/>
              <w:left w:val="single" w:color="000000" w:sz="4" w:space="0"/>
              <w:bottom w:val="single" w:color="auto" w:sz="4" w:space="0"/>
              <w:right w:val="single" w:color="000000" w:sz="4" w:space="0"/>
            </w:tcBorders>
            <w:shd w:val="clear" w:color="auto" w:fill="auto"/>
            <w:vAlign w:val="center"/>
          </w:tcPr>
          <w:p w14:paraId="0D8B85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650</w:t>
            </w:r>
          </w:p>
        </w:tc>
        <w:tc>
          <w:tcPr>
            <w:tcW w:w="534" w:type="pct"/>
            <w:tcBorders>
              <w:top w:val="single" w:color="000000" w:sz="4" w:space="0"/>
              <w:left w:val="single" w:color="000000" w:sz="4" w:space="0"/>
              <w:bottom w:val="single" w:color="auto" w:sz="4" w:space="0"/>
              <w:right w:val="single" w:color="000000" w:sz="4" w:space="0"/>
            </w:tcBorders>
            <w:shd w:val="clear" w:color="auto" w:fill="auto"/>
            <w:vAlign w:val="center"/>
          </w:tcPr>
          <w:p w14:paraId="31B298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699D2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5" w:hRule="atLeast"/>
        </w:trPr>
        <w:tc>
          <w:tcPr>
            <w:tcW w:w="4465" w:type="pct"/>
            <w:gridSpan w:val="8"/>
            <w:tcBorders>
              <w:top w:val="single" w:color="auto" w:sz="4" w:space="0"/>
              <w:left w:val="single" w:color="auto" w:sz="4" w:space="0"/>
              <w:bottom w:val="single" w:color="auto" w:sz="4" w:space="0"/>
              <w:right w:val="nil"/>
            </w:tcBorders>
            <w:shd w:val="clear" w:color="auto" w:fill="auto"/>
            <w:vAlign w:val="center"/>
          </w:tcPr>
          <w:p w14:paraId="1A8AA2BC">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小计（元）</w:t>
            </w:r>
          </w:p>
        </w:tc>
        <w:tc>
          <w:tcPr>
            <w:tcW w:w="534" w:type="pct"/>
            <w:tcBorders>
              <w:top w:val="single" w:color="auto" w:sz="4" w:space="0"/>
              <w:left w:val="single" w:color="000000" w:sz="4" w:space="0"/>
              <w:bottom w:val="single" w:color="auto" w:sz="4" w:space="0"/>
              <w:right w:val="single" w:color="auto" w:sz="4" w:space="0"/>
            </w:tcBorders>
            <w:shd w:val="clear" w:color="auto" w:fill="auto"/>
            <w:vAlign w:val="center"/>
          </w:tcPr>
          <w:p w14:paraId="0FEB51A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r>
      <w:tr w14:paraId="0ACB0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gridSpan w:val="9"/>
            <w:tcBorders>
              <w:top w:val="single" w:color="auto" w:sz="4" w:space="0"/>
              <w:left w:val="single" w:color="000000" w:sz="4" w:space="0"/>
              <w:bottom w:val="single" w:color="000000" w:sz="4" w:space="0"/>
              <w:right w:val="single" w:color="000000" w:sz="4" w:space="0"/>
            </w:tcBorders>
            <w:shd w:val="clear" w:color="auto" w:fill="auto"/>
            <w:vAlign w:val="center"/>
          </w:tcPr>
          <w:p w14:paraId="63F6AF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三层多功能厅</w:t>
            </w:r>
          </w:p>
        </w:tc>
      </w:tr>
      <w:tr w14:paraId="13997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3"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AE4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DD0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演讲台</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CF1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W800*D600*H1150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0D9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1、贴面用材：优质一级0.6mm厚天然木皮贴面，经过防虫防腐处理，耐磨性好，纹理清晰自然，色泽一致，实木封边。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    材：优质环保中密度纤维板，经过耐酸碱、防虫、防腐处理，含水率达到国家标准，抗弯力强，不易变形。各种物理、化学性能指标均达到国家相关标准。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3、油    漆：优质水性油漆，引用先进油漆工艺，五底三面，透明度高、附着力强，涂层亮度均匀不褪色，色泽柔和，手感良好。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4、配    件：优质五金配件。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EC8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BAA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362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69D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326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6262D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60"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133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8A0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主席台</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B02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W5600*D600*H760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92C7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1、贴面用材：优质一级0.6mm厚天然木皮贴面，经过防虫防腐处理，耐磨性好，纹理清晰自然，色泽一致，实木封边。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    材：优质环保中密度纤维板，经过耐酸碱、防虫、防腐处理，含水率达到国家标准，抗弯力强，不易变形。各种物理、化学性能指标均达到国家相关标准。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3、油    漆：优质水性油漆，引用先进油漆工艺，五底三面，透明度高、附着力强，涂层亮度均匀不褪色，色泽柔和，手感良好。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4、配    件：优质五金配件。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BE5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0FF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09D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5D4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4BBF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4DC8A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80"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7B2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651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会议椅</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4A5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高背</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A1A6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    料：采用优质西皮覆面，经筛选和特殊处理，具有虻孔少、皮质细腻、透气性能好、耐腐蚀等特点，长时间使用，不松弛，无断裂。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2、海    绵：采用高密度PU成型发海绵、及高密度裁切发海绵，反复坐压，不变形、不塌陷，防火性能优，阻燃性能良好。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3、脚    架：实木脚架。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B507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4B0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277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2ED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D1A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7E16E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69"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B72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930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会议条桌</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AE4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W1200*D550*H760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92211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  材：采用优质环保刨花板，三聚氰胺浸纸饰面，宜清洗、防划痕，承重力强，尺寸稳定性好。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2、工  艺：所有板件均双贴面、封四边，所有外部封边采用与板材颜色、纹理配套的优质激光封边条封边。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3、胶粘剂：采用优质胶粘剂。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4、脚  架：钢制脚架，带万向轮，壁厚大于2mm，强度高、韧性好。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5、备  注：配有钢制下挂档板，配钢制桌架可折叠，含书网。</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336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D70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52D7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8D22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9EF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4F319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8"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BE7A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5B4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会议椅</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32B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中背</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89D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    料：采用家具专业阻燃布艺，耐磨性强，并进行防火耐污处理。椅背为网状面料，弹性好、拉力强、透气性好，长时间使用，不松弛，无断裂。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2、海   绵：采用高密度PU成型发海绵、及高密度裁切发海绵，反复坐压，不变形、不塌陷，防火性能优，阻燃性能良好。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3、脚    架：钢制脚架、带塑料脚垫。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4、备    注：椅背为活动椅背，可折叠。</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667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F34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82A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B99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D20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08920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89" w:hRule="atLeast"/>
        </w:trPr>
        <w:tc>
          <w:tcPr>
            <w:tcW w:w="4465"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A000BCE">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小计（元）</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9B91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r>
      <w:tr w14:paraId="44987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9"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BB08B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三层休息室</w:t>
            </w:r>
          </w:p>
        </w:tc>
      </w:tr>
      <w:tr w14:paraId="513781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9" w:hRule="atLeast"/>
        </w:trPr>
        <w:tc>
          <w:tcPr>
            <w:tcW w:w="242" w:type="pct"/>
            <w:tcBorders>
              <w:top w:val="single" w:color="000000" w:sz="4" w:space="0"/>
              <w:left w:val="single" w:color="000000" w:sz="4" w:space="0"/>
              <w:bottom w:val="single" w:color="auto" w:sz="4" w:space="0"/>
              <w:right w:val="single" w:color="000000" w:sz="4" w:space="0"/>
            </w:tcBorders>
            <w:shd w:val="clear" w:color="auto" w:fill="auto"/>
            <w:vAlign w:val="center"/>
          </w:tcPr>
          <w:p w14:paraId="05DD27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4" w:type="pct"/>
            <w:tcBorders>
              <w:top w:val="single" w:color="000000" w:sz="4" w:space="0"/>
              <w:left w:val="single" w:color="000000" w:sz="4" w:space="0"/>
              <w:bottom w:val="single" w:color="auto" w:sz="4" w:space="0"/>
              <w:right w:val="single" w:color="000000" w:sz="4" w:space="0"/>
            </w:tcBorders>
            <w:shd w:val="clear" w:color="auto" w:fill="auto"/>
            <w:vAlign w:val="center"/>
          </w:tcPr>
          <w:p w14:paraId="3A6141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沙发</w:t>
            </w:r>
          </w:p>
        </w:tc>
        <w:tc>
          <w:tcPr>
            <w:tcW w:w="658" w:type="pct"/>
            <w:tcBorders>
              <w:top w:val="single" w:color="000000" w:sz="4" w:space="0"/>
              <w:left w:val="single" w:color="000000" w:sz="4" w:space="0"/>
              <w:bottom w:val="single" w:color="auto" w:sz="4" w:space="0"/>
              <w:right w:val="single" w:color="000000" w:sz="4" w:space="0"/>
            </w:tcBorders>
            <w:shd w:val="clear" w:color="auto" w:fill="auto"/>
            <w:vAlign w:val="center"/>
          </w:tcPr>
          <w:p w14:paraId="7C3293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W2380*D940*H690</w:t>
            </w:r>
          </w:p>
        </w:tc>
        <w:tc>
          <w:tcPr>
            <w:tcW w:w="2189" w:type="pct"/>
            <w:tcBorders>
              <w:top w:val="single" w:color="000000" w:sz="4" w:space="0"/>
              <w:left w:val="single" w:color="000000" w:sz="4" w:space="0"/>
              <w:bottom w:val="single" w:color="auto" w:sz="4" w:space="0"/>
              <w:right w:val="single" w:color="000000" w:sz="4" w:space="0"/>
            </w:tcBorders>
            <w:shd w:val="clear" w:color="auto" w:fill="auto"/>
            <w:vAlign w:val="center"/>
          </w:tcPr>
          <w:p w14:paraId="4DFFB4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   料：采用优质西皮覆面，经筛选和特殊处理，具有虻孔少、皮质细腻、透气性能好、耐腐蚀等特点，长时间使用，不松弛，无断裂。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2、海   绵：采用高密度PU成型发海绵、及高密度裁切发海绵，反复坐压，不变形、不塌陷，防火性能优，阻燃性能良好。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3、弹   簧：高弹性蛇形弹簧及强力织带橡筋，蛇簧加载20000次无损。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4、脚   架：钢制脚架。</w:t>
            </w:r>
          </w:p>
        </w:tc>
        <w:tc>
          <w:tcPr>
            <w:tcW w:w="240" w:type="pct"/>
            <w:tcBorders>
              <w:top w:val="single" w:color="000000" w:sz="4" w:space="0"/>
              <w:left w:val="single" w:color="000000" w:sz="4" w:space="0"/>
              <w:bottom w:val="single" w:color="auto" w:sz="4" w:space="0"/>
              <w:right w:val="single" w:color="000000" w:sz="4" w:space="0"/>
            </w:tcBorders>
            <w:shd w:val="clear" w:color="auto" w:fill="auto"/>
            <w:vAlign w:val="center"/>
          </w:tcPr>
          <w:p w14:paraId="6B7C6E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auto" w:sz="4" w:space="0"/>
              <w:right w:val="single" w:color="000000" w:sz="4" w:space="0"/>
            </w:tcBorders>
            <w:shd w:val="clear" w:color="auto" w:fill="auto"/>
            <w:vAlign w:val="center"/>
          </w:tcPr>
          <w:p w14:paraId="408883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auto" w:sz="4" w:space="0"/>
              <w:right w:val="single" w:color="000000" w:sz="4" w:space="0"/>
            </w:tcBorders>
            <w:shd w:val="clear" w:color="auto" w:fill="auto"/>
            <w:vAlign w:val="center"/>
          </w:tcPr>
          <w:p w14:paraId="37A6D2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1" w:type="pct"/>
            <w:tcBorders>
              <w:top w:val="single" w:color="000000" w:sz="4" w:space="0"/>
              <w:left w:val="single" w:color="000000" w:sz="4" w:space="0"/>
              <w:bottom w:val="single" w:color="auto" w:sz="4" w:space="0"/>
              <w:right w:val="single" w:color="000000" w:sz="4" w:space="0"/>
            </w:tcBorders>
            <w:shd w:val="clear" w:color="auto" w:fill="auto"/>
            <w:vAlign w:val="center"/>
          </w:tcPr>
          <w:p w14:paraId="70C9CC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auto" w:sz="4" w:space="0"/>
              <w:right w:val="single" w:color="000000" w:sz="4" w:space="0"/>
            </w:tcBorders>
            <w:shd w:val="clear" w:color="auto" w:fill="auto"/>
            <w:vAlign w:val="center"/>
          </w:tcPr>
          <w:p w14:paraId="4DE91D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2AD90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7" w:hRule="atLeast"/>
        </w:trPr>
        <w:tc>
          <w:tcPr>
            <w:tcW w:w="242" w:type="pct"/>
            <w:tcBorders>
              <w:top w:val="single" w:color="auto" w:sz="4" w:space="0"/>
              <w:left w:val="single" w:color="auto" w:sz="4" w:space="0"/>
              <w:bottom w:val="single" w:color="auto" w:sz="4" w:space="0"/>
              <w:right w:val="single" w:color="000000" w:sz="4" w:space="0"/>
            </w:tcBorders>
            <w:shd w:val="clear" w:color="auto" w:fill="auto"/>
            <w:vAlign w:val="center"/>
          </w:tcPr>
          <w:p w14:paraId="320D78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4" w:type="pct"/>
            <w:tcBorders>
              <w:top w:val="single" w:color="auto" w:sz="4" w:space="0"/>
              <w:left w:val="single" w:color="000000" w:sz="4" w:space="0"/>
              <w:bottom w:val="single" w:color="auto" w:sz="4" w:space="0"/>
              <w:right w:val="single" w:color="000000" w:sz="4" w:space="0"/>
            </w:tcBorders>
            <w:shd w:val="clear" w:color="auto" w:fill="auto"/>
            <w:vAlign w:val="center"/>
          </w:tcPr>
          <w:p w14:paraId="6C4AC9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沙发</w:t>
            </w:r>
          </w:p>
        </w:tc>
        <w:tc>
          <w:tcPr>
            <w:tcW w:w="658" w:type="pct"/>
            <w:tcBorders>
              <w:top w:val="single" w:color="auto" w:sz="4" w:space="0"/>
              <w:left w:val="single" w:color="000000" w:sz="4" w:space="0"/>
              <w:bottom w:val="single" w:color="auto" w:sz="4" w:space="0"/>
              <w:right w:val="single" w:color="000000" w:sz="4" w:space="0"/>
            </w:tcBorders>
            <w:shd w:val="clear" w:color="auto" w:fill="auto"/>
            <w:vAlign w:val="center"/>
          </w:tcPr>
          <w:p w14:paraId="613F76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W1030*D940*H690</w:t>
            </w:r>
          </w:p>
        </w:tc>
        <w:tc>
          <w:tcPr>
            <w:tcW w:w="2189" w:type="pct"/>
            <w:tcBorders>
              <w:top w:val="single" w:color="auto" w:sz="4" w:space="0"/>
              <w:left w:val="single" w:color="000000" w:sz="4" w:space="0"/>
              <w:bottom w:val="single" w:color="auto" w:sz="4" w:space="0"/>
              <w:right w:val="single" w:color="000000" w:sz="4" w:space="0"/>
            </w:tcBorders>
            <w:shd w:val="clear" w:color="auto" w:fill="auto"/>
            <w:vAlign w:val="center"/>
          </w:tcPr>
          <w:p w14:paraId="45C7C0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   料：采用优质西皮覆面，经筛选和特殊处理，具有虻孔少、皮质细腻、透气性能好、耐腐蚀等特点，长时间使用，不松弛，无断裂。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2、海   绵：采用高密度PU成型发海绵、及高密度裁切发海绵，反复坐压，不变形、不塌陷，防火性能优，阻燃性能良好。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3、弹   簧：高弹性蛇形弹簧及强力织带橡筋，蛇簧加载20000次无损。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4、脚   架：钢制脚架。</w:t>
            </w:r>
          </w:p>
        </w:tc>
        <w:tc>
          <w:tcPr>
            <w:tcW w:w="240" w:type="pct"/>
            <w:tcBorders>
              <w:top w:val="single" w:color="auto" w:sz="4" w:space="0"/>
              <w:left w:val="single" w:color="000000" w:sz="4" w:space="0"/>
              <w:bottom w:val="single" w:color="auto" w:sz="4" w:space="0"/>
              <w:right w:val="single" w:color="000000" w:sz="4" w:space="0"/>
            </w:tcBorders>
            <w:shd w:val="clear" w:color="auto" w:fill="auto"/>
            <w:vAlign w:val="center"/>
          </w:tcPr>
          <w:p w14:paraId="4351B9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auto" w:sz="4" w:space="0"/>
              <w:left w:val="single" w:color="000000" w:sz="4" w:space="0"/>
              <w:bottom w:val="single" w:color="auto" w:sz="4" w:space="0"/>
              <w:right w:val="single" w:color="000000" w:sz="4" w:space="0"/>
            </w:tcBorders>
            <w:shd w:val="clear" w:color="auto" w:fill="auto"/>
            <w:vAlign w:val="center"/>
          </w:tcPr>
          <w:p w14:paraId="64261A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auto" w:sz="4" w:space="0"/>
              <w:left w:val="single" w:color="000000" w:sz="4" w:space="0"/>
              <w:bottom w:val="single" w:color="auto" w:sz="4" w:space="0"/>
              <w:right w:val="single" w:color="000000" w:sz="4" w:space="0"/>
            </w:tcBorders>
            <w:shd w:val="clear" w:color="auto" w:fill="auto"/>
            <w:vAlign w:val="center"/>
          </w:tcPr>
          <w:p w14:paraId="4A96A1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41" w:type="pct"/>
            <w:tcBorders>
              <w:top w:val="single" w:color="auto" w:sz="4" w:space="0"/>
              <w:left w:val="single" w:color="000000" w:sz="4" w:space="0"/>
              <w:bottom w:val="single" w:color="auto" w:sz="4" w:space="0"/>
              <w:right w:val="single" w:color="000000" w:sz="4" w:space="0"/>
            </w:tcBorders>
            <w:shd w:val="clear" w:color="auto" w:fill="auto"/>
            <w:vAlign w:val="center"/>
          </w:tcPr>
          <w:p w14:paraId="1DBD92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auto" w:sz="4" w:space="0"/>
              <w:left w:val="single" w:color="000000" w:sz="4" w:space="0"/>
              <w:bottom w:val="single" w:color="auto" w:sz="4" w:space="0"/>
              <w:right w:val="single" w:color="auto" w:sz="4" w:space="0"/>
            </w:tcBorders>
            <w:shd w:val="clear" w:color="auto" w:fill="auto"/>
            <w:vAlign w:val="center"/>
          </w:tcPr>
          <w:p w14:paraId="1EF170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7CA13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7" w:hRule="atLeast"/>
        </w:trPr>
        <w:tc>
          <w:tcPr>
            <w:tcW w:w="242" w:type="pct"/>
            <w:tcBorders>
              <w:top w:val="single" w:color="auto" w:sz="4" w:space="0"/>
              <w:left w:val="single" w:color="000000" w:sz="4" w:space="0"/>
              <w:bottom w:val="single" w:color="000000" w:sz="4" w:space="0"/>
              <w:right w:val="single" w:color="000000" w:sz="4" w:space="0"/>
            </w:tcBorders>
            <w:shd w:val="clear" w:color="auto" w:fill="auto"/>
            <w:vAlign w:val="center"/>
          </w:tcPr>
          <w:p w14:paraId="3876FA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314" w:type="pct"/>
            <w:tcBorders>
              <w:top w:val="single" w:color="auto" w:sz="4" w:space="0"/>
              <w:left w:val="single" w:color="000000" w:sz="4" w:space="0"/>
              <w:bottom w:val="single" w:color="000000" w:sz="4" w:space="0"/>
              <w:right w:val="single" w:color="000000" w:sz="4" w:space="0"/>
            </w:tcBorders>
            <w:shd w:val="clear" w:color="auto" w:fill="auto"/>
            <w:vAlign w:val="center"/>
          </w:tcPr>
          <w:p w14:paraId="0D697C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658" w:type="pct"/>
            <w:tcBorders>
              <w:top w:val="single" w:color="auto" w:sz="4" w:space="0"/>
              <w:left w:val="single" w:color="000000" w:sz="4" w:space="0"/>
              <w:bottom w:val="single" w:color="000000" w:sz="4" w:space="0"/>
              <w:right w:val="single" w:color="000000" w:sz="4" w:space="0"/>
            </w:tcBorders>
            <w:shd w:val="clear" w:color="auto" w:fill="auto"/>
            <w:vAlign w:val="center"/>
          </w:tcPr>
          <w:p w14:paraId="4718F2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W1300*D700*H400</w:t>
            </w:r>
          </w:p>
        </w:tc>
        <w:tc>
          <w:tcPr>
            <w:tcW w:w="2189" w:type="pct"/>
            <w:tcBorders>
              <w:top w:val="single" w:color="auto" w:sz="4" w:space="0"/>
              <w:left w:val="single" w:color="000000" w:sz="4" w:space="0"/>
              <w:bottom w:val="single" w:color="000000" w:sz="4" w:space="0"/>
              <w:right w:val="single" w:color="000000" w:sz="4" w:space="0"/>
            </w:tcBorders>
            <w:shd w:val="clear" w:color="auto" w:fill="auto"/>
            <w:vAlign w:val="center"/>
          </w:tcPr>
          <w:p w14:paraId="35828D5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  质：采用环保岩板、宜清洗、防划痕，承重力强，尺寸稳定性好。强度高、刚性好、不变形，各种物理、化学性能指标均达到国家相关标准。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2、钢 脚：黑色喷涂钢架。</w:t>
            </w:r>
          </w:p>
        </w:tc>
        <w:tc>
          <w:tcPr>
            <w:tcW w:w="240" w:type="pct"/>
            <w:tcBorders>
              <w:top w:val="single" w:color="auto" w:sz="4" w:space="0"/>
              <w:left w:val="single" w:color="000000" w:sz="4" w:space="0"/>
              <w:bottom w:val="single" w:color="000000" w:sz="4" w:space="0"/>
              <w:right w:val="single" w:color="000000" w:sz="4" w:space="0"/>
            </w:tcBorders>
            <w:shd w:val="clear" w:color="auto" w:fill="auto"/>
            <w:vAlign w:val="center"/>
          </w:tcPr>
          <w:p w14:paraId="7AF724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auto" w:sz="4" w:space="0"/>
              <w:left w:val="single" w:color="000000" w:sz="4" w:space="0"/>
              <w:bottom w:val="single" w:color="000000" w:sz="4" w:space="0"/>
              <w:right w:val="single" w:color="000000" w:sz="4" w:space="0"/>
            </w:tcBorders>
            <w:shd w:val="clear" w:color="auto" w:fill="auto"/>
            <w:vAlign w:val="center"/>
          </w:tcPr>
          <w:p w14:paraId="67DB99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auto" w:sz="4" w:space="0"/>
              <w:left w:val="single" w:color="000000" w:sz="4" w:space="0"/>
              <w:bottom w:val="single" w:color="000000" w:sz="4" w:space="0"/>
              <w:right w:val="single" w:color="000000" w:sz="4" w:space="0"/>
            </w:tcBorders>
            <w:shd w:val="clear" w:color="auto" w:fill="auto"/>
            <w:vAlign w:val="center"/>
          </w:tcPr>
          <w:p w14:paraId="1A7219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1" w:type="pct"/>
            <w:tcBorders>
              <w:top w:val="single" w:color="auto" w:sz="4" w:space="0"/>
              <w:left w:val="single" w:color="000000" w:sz="4" w:space="0"/>
              <w:bottom w:val="single" w:color="000000" w:sz="4" w:space="0"/>
              <w:right w:val="single" w:color="000000" w:sz="4" w:space="0"/>
            </w:tcBorders>
            <w:shd w:val="clear" w:color="auto" w:fill="auto"/>
            <w:vAlign w:val="center"/>
          </w:tcPr>
          <w:p w14:paraId="3378BF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auto" w:sz="4" w:space="0"/>
              <w:left w:val="single" w:color="000000" w:sz="4" w:space="0"/>
              <w:bottom w:val="single" w:color="000000" w:sz="4" w:space="0"/>
              <w:right w:val="single" w:color="000000" w:sz="4" w:space="0"/>
            </w:tcBorders>
            <w:shd w:val="clear" w:color="auto" w:fill="auto"/>
            <w:vAlign w:val="center"/>
          </w:tcPr>
          <w:p w14:paraId="5676A2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67EA1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1"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AA3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7B3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BAD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φ600*H550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4C96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1、材  质：采用环保刨花板基材，三聚氰胺浸纸饰面，宜清洗、防划痕，承重力强，尺寸稳定性好。经防潮、防虫、防腐处理，强度高、刚性好、不变形，各种物理、化学性能指标均达到国家相关标准。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2、工  艺：所有板件均双贴面、封四边，所有外部封边采用与板材颜色、纹理配套的优质激光封边条封边。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3、胶粘剂：采用优质胶粘剂。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4、脚  架：钢制脚架。</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0538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E6E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2F1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B7EB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D34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33D02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8" w:hRule="atLeast"/>
        </w:trPr>
        <w:tc>
          <w:tcPr>
            <w:tcW w:w="4465" w:type="pct"/>
            <w:gridSpan w:val="8"/>
            <w:tcBorders>
              <w:top w:val="single" w:color="000000" w:sz="4" w:space="0"/>
              <w:left w:val="single" w:color="000000" w:sz="4" w:space="0"/>
              <w:bottom w:val="single" w:color="000000" w:sz="4" w:space="0"/>
              <w:right w:val="nil"/>
            </w:tcBorders>
            <w:shd w:val="clear" w:color="auto" w:fill="auto"/>
            <w:vAlign w:val="center"/>
          </w:tcPr>
          <w:p w14:paraId="377A2E0A">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小计（元）</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2B585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r>
      <w:tr w14:paraId="6E06D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D3510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员工区</w:t>
            </w:r>
          </w:p>
        </w:tc>
      </w:tr>
      <w:tr w14:paraId="1ECF1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9"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BBA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535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屏风工作位（含钢制更衣柜+钢制活动柜+多媒体插座）</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E46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W1600*D1600*H1200</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E80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1、全钢屏风：屏风厚度为30mm+60mm,可放置电路保护盒及线路套管。内任意走线,在内部走线保证强弱电有效分离（间距需达300mm）；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2、覆面材料：横向为钢板+腰带+磨砂玻璃，纵向为钢板+腰带+钢板，且为全落地。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3、贴    面：采用三聚氰胺贴面，具有宜清洗、防划痕等特点。</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4、基    材：品牌刨花板，绿色环保产品，甲醛释放量符合国标E1级标准。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5、封    边：2mmPVC胶边，进口热溶胶。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6、走    线：上下双路走线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7、插   座：内置多媒体集成插座（含2个万能插、1个6类非屏蔽网络接口、1个电话接口、1个3.0USB接口）。</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2D6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23B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686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C543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E1B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56078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8" w:hRule="atLeast"/>
        </w:trPr>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D63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2BD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员工椅</w:t>
            </w:r>
          </w:p>
        </w:tc>
        <w:tc>
          <w:tcPr>
            <w:tcW w:w="6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E56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高背</w:t>
            </w:r>
          </w:p>
        </w:tc>
        <w:tc>
          <w:tcPr>
            <w:tcW w:w="21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C7C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1、面    料：采用家具专业阻燃布艺，耐磨性强，并进行防火耐污处理。椅背为网状面料，弹性好、拉力强、透气性好，长时间使用，不松弛，无断裂。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2、机    构：采用优质前置同步倾仰锁定机构。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 3、气 压 棒：优质品牌气压棒，升降自如。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4、海    绵：采用高密度PU成型发海绵、及高密度裁切发海绵，反复坐压，不变形、不塌陷，防火性能优，阻燃性能良好。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5、脚    架：尼龙五星脚架。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6、脚    轮：采用尼龙塑料加纤维制成，承载能力强、耐磨性能好、移动杂音小。</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92B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可选</w:t>
            </w:r>
          </w:p>
        </w:tc>
        <w:tc>
          <w:tcPr>
            <w:tcW w:w="1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F05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46B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25D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2C09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r>
      <w:tr w14:paraId="25991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9" w:hRule="atLeast"/>
        </w:trPr>
        <w:tc>
          <w:tcPr>
            <w:tcW w:w="4465" w:type="pct"/>
            <w:gridSpan w:val="8"/>
            <w:tcBorders>
              <w:top w:val="single" w:color="000000" w:sz="4" w:space="0"/>
              <w:left w:val="single" w:color="000000" w:sz="4" w:space="0"/>
              <w:bottom w:val="single" w:color="auto" w:sz="4" w:space="0"/>
              <w:right w:val="nil"/>
            </w:tcBorders>
            <w:shd w:val="clear" w:color="auto" w:fill="auto"/>
            <w:vAlign w:val="center"/>
          </w:tcPr>
          <w:p w14:paraId="08172686">
            <w:pPr>
              <w:keepNext w:val="0"/>
              <w:keepLines w:val="0"/>
              <w:widowControl/>
              <w:suppressLineNumbers w:val="0"/>
              <w:jc w:val="righ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小计（元）</w:t>
            </w:r>
          </w:p>
        </w:tc>
        <w:tc>
          <w:tcPr>
            <w:tcW w:w="534" w:type="pct"/>
            <w:tcBorders>
              <w:top w:val="single" w:color="000000" w:sz="4" w:space="0"/>
              <w:left w:val="single" w:color="000000" w:sz="4" w:space="0"/>
              <w:bottom w:val="single" w:color="auto" w:sz="4" w:space="0"/>
              <w:right w:val="single" w:color="000000" w:sz="4" w:space="0"/>
            </w:tcBorders>
            <w:shd w:val="clear" w:color="auto" w:fill="auto"/>
            <w:vAlign w:val="center"/>
          </w:tcPr>
          <w:p w14:paraId="21F7240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r>
      <w:tr w14:paraId="16753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4" w:hRule="atLeast"/>
        </w:trPr>
        <w:tc>
          <w:tcPr>
            <w:tcW w:w="4024" w:type="pct"/>
            <w:gridSpan w:val="7"/>
            <w:tcBorders>
              <w:top w:val="single" w:color="auto" w:sz="4" w:space="0"/>
              <w:left w:val="single" w:color="auto" w:sz="4" w:space="0"/>
              <w:bottom w:val="single" w:color="auto" w:sz="4" w:space="0"/>
              <w:right w:val="nil"/>
            </w:tcBorders>
            <w:shd w:val="clear" w:color="auto" w:fill="auto"/>
            <w:vAlign w:val="center"/>
          </w:tcPr>
          <w:p w14:paraId="39A0C4B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8"/>
                <w:szCs w:val="28"/>
                <w:u w:val="none"/>
                <w:lang w:val="en-US" w:eastAsia="zh-CN" w:bidi="ar"/>
              </w:rPr>
              <w:t>总计大写：</w:t>
            </w:r>
          </w:p>
        </w:tc>
        <w:tc>
          <w:tcPr>
            <w:tcW w:w="975" w:type="pct"/>
            <w:gridSpan w:val="2"/>
            <w:tcBorders>
              <w:top w:val="single" w:color="auto" w:sz="4" w:space="0"/>
              <w:left w:val="single" w:color="000000" w:sz="4" w:space="0"/>
              <w:bottom w:val="single" w:color="auto" w:sz="4" w:space="0"/>
              <w:right w:val="single" w:color="auto" w:sz="4" w:space="0"/>
            </w:tcBorders>
            <w:shd w:val="clear" w:color="auto" w:fill="auto"/>
            <w:vAlign w:val="center"/>
          </w:tcPr>
          <w:p w14:paraId="71C9F21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p>
        </w:tc>
      </w:tr>
    </w:tbl>
    <w:p w14:paraId="08340945">
      <w:pPr>
        <w:widowControl w:val="0"/>
        <w:numPr>
          <w:ilvl w:val="0"/>
          <w:numId w:val="0"/>
        </w:numPr>
        <w:spacing w:line="360" w:lineRule="exact"/>
        <w:jc w:val="both"/>
        <w:rPr>
          <w:rFonts w:hint="eastAsia" w:asciiTheme="minorEastAsia" w:hAnsiTheme="minorEastAsia" w:eastAsiaTheme="minorEastAsia" w:cstheme="minorEastAsia"/>
          <w:b/>
          <w:bCs/>
          <w:sz w:val="28"/>
          <w:szCs w:val="28"/>
        </w:rPr>
        <w:sectPr>
          <w:pgSz w:w="16838" w:h="11906" w:orient="landscape"/>
          <w:pgMar w:top="1276" w:right="1440" w:bottom="1274" w:left="1440" w:header="851" w:footer="992" w:gutter="0"/>
          <w:cols w:space="425" w:num="1"/>
          <w:docGrid w:type="lines" w:linePitch="312" w:charSpace="0"/>
        </w:sectPr>
      </w:pPr>
    </w:p>
    <w:p w14:paraId="10C76758">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说明：</w:t>
      </w:r>
    </w:p>
    <w:p w14:paraId="5DBFD827">
      <w:pPr>
        <w:widowControl w:val="0"/>
        <w:numPr>
          <w:ilvl w:val="0"/>
          <w:numId w:val="0"/>
        </w:numPr>
        <w:spacing w:line="360" w:lineRule="exact"/>
        <w:ind w:firstLine="480" w:firstLineChars="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1．本采购清单应与投标人须知、合同条款等文件结合起来查阅与理解。</w:t>
      </w:r>
    </w:p>
    <w:p w14:paraId="13C9188F">
      <w:pPr>
        <w:widowControl w:val="0"/>
        <w:numPr>
          <w:ilvl w:val="0"/>
          <w:numId w:val="0"/>
        </w:numPr>
        <w:spacing w:line="360" w:lineRule="exact"/>
        <w:ind w:firstLine="480" w:firstLineChars="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54CCF9CE">
      <w:pPr>
        <w:widowControl w:val="0"/>
        <w:numPr>
          <w:ilvl w:val="0"/>
          <w:numId w:val="0"/>
        </w:numPr>
        <w:spacing w:line="360" w:lineRule="exact"/>
        <w:ind w:firstLine="480" w:firstLineChars="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3．采购清单中的各项费用货币单位均为人民币（元）。</w:t>
      </w:r>
    </w:p>
    <w:p w14:paraId="5B7A5591">
      <w:pPr>
        <w:widowControl w:val="0"/>
        <w:numPr>
          <w:ilvl w:val="0"/>
          <w:numId w:val="0"/>
        </w:numPr>
        <w:spacing w:line="360" w:lineRule="exact"/>
        <w:ind w:firstLine="480" w:firstLineChars="2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4．对于符合要求的报价文件，在签订合同协议书前，如发现报价单中有计算方面的算术差错，按采购文件规定修正。</w:t>
      </w:r>
    </w:p>
    <w:p w14:paraId="3C9C4782">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xml:space="preserve">               </w:t>
      </w:r>
    </w:p>
    <w:p w14:paraId="153989D3">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p>
    <w:p w14:paraId="0B6BF68E">
      <w:pPr>
        <w:widowControl w:val="0"/>
        <w:numPr>
          <w:ilvl w:val="0"/>
          <w:numId w:val="0"/>
        </w:numPr>
        <w:spacing w:line="360" w:lineRule="exact"/>
        <w:ind w:firstLine="8880" w:firstLineChars="37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报价人（单位签章）：</w:t>
      </w:r>
    </w:p>
    <w:p w14:paraId="6BD41052">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p>
    <w:p w14:paraId="315CF208">
      <w:pPr>
        <w:widowControl w:val="0"/>
        <w:numPr>
          <w:ilvl w:val="0"/>
          <w:numId w:val="0"/>
        </w:numPr>
        <w:spacing w:line="360" w:lineRule="exact"/>
        <w:ind w:firstLine="8880" w:firstLineChars="3700"/>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法定代表人或其委托代理人（签名）：</w:t>
      </w:r>
    </w:p>
    <w:p w14:paraId="7BC23883">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 xml:space="preserve">                                                 </w:t>
      </w:r>
    </w:p>
    <w:p w14:paraId="3D5F1BE5">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p>
    <w:p w14:paraId="17D36769">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pPr>
    </w:p>
    <w:p w14:paraId="683068C4">
      <w:pPr>
        <w:widowControl w:val="0"/>
        <w:numPr>
          <w:ilvl w:val="0"/>
          <w:numId w:val="0"/>
        </w:numPr>
        <w:spacing w:line="360" w:lineRule="exact"/>
        <w:jc w:val="righ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日期：     年     月     日</w:t>
      </w:r>
    </w:p>
    <w:p w14:paraId="7509D97E">
      <w:pPr>
        <w:widowControl w:val="0"/>
        <w:numPr>
          <w:ilvl w:val="0"/>
          <w:numId w:val="0"/>
        </w:numPr>
        <w:spacing w:line="360" w:lineRule="exact"/>
        <w:jc w:val="right"/>
        <w:rPr>
          <w:rFonts w:hint="eastAsia" w:asciiTheme="minorEastAsia" w:hAnsiTheme="minorEastAsia" w:eastAsiaTheme="minorEastAsia" w:cstheme="minorEastAsia"/>
          <w:b w:val="0"/>
          <w:bCs w:val="0"/>
          <w:sz w:val="24"/>
          <w:szCs w:val="24"/>
        </w:rPr>
      </w:pPr>
    </w:p>
    <w:p w14:paraId="3757D7C3">
      <w:pPr>
        <w:widowControl w:val="0"/>
        <w:numPr>
          <w:ilvl w:val="0"/>
          <w:numId w:val="0"/>
        </w:numPr>
        <w:spacing w:line="360" w:lineRule="exact"/>
        <w:jc w:val="both"/>
        <w:rPr>
          <w:rFonts w:hint="eastAsia" w:asciiTheme="minorEastAsia" w:hAnsiTheme="minorEastAsia" w:eastAsiaTheme="minorEastAsia" w:cstheme="minorEastAsia"/>
          <w:b w:val="0"/>
          <w:bCs w:val="0"/>
          <w:sz w:val="24"/>
          <w:szCs w:val="24"/>
        </w:rPr>
        <w:sectPr>
          <w:pgSz w:w="16838" w:h="11906" w:orient="landscape"/>
          <w:pgMar w:top="1276" w:right="1440" w:bottom="1274" w:left="1440" w:header="851" w:footer="992" w:gutter="0"/>
          <w:cols w:space="425" w:num="1"/>
          <w:docGrid w:type="lines" w:linePitch="312" w:charSpace="0"/>
        </w:sectPr>
      </w:pPr>
    </w:p>
    <w:p w14:paraId="23914F5A">
      <w:pPr>
        <w:topLinePunct/>
        <w:spacing w:line="440" w:lineRule="exact"/>
        <w:jc w:val="center"/>
        <w:rPr>
          <w:rFonts w:hint="eastAsia" w:asciiTheme="minorEastAsia" w:hAnsiTheme="minorEastAsia" w:eastAsiaTheme="minorEastAsia" w:cstheme="minorEastAsia"/>
          <w:b/>
          <w:bCs/>
          <w:sz w:val="28"/>
          <w:szCs w:val="28"/>
        </w:rPr>
      </w:pPr>
      <w:bookmarkStart w:id="141" w:name="_Toc10436_WPSOffice_Level1"/>
      <w:bookmarkStart w:id="142" w:name="_Toc22815_WPSOffice_Level1"/>
      <w:bookmarkStart w:id="143" w:name="_Toc23545_WPSOffice_Level1"/>
      <w:bookmarkStart w:id="144" w:name="_Toc31445_WPSOffice_Level1"/>
      <w:bookmarkStart w:id="145" w:name="_Toc7738_WPSOffice_Level1"/>
    </w:p>
    <w:p w14:paraId="51A481B8">
      <w:pPr>
        <w:topLinePunct/>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w:t>
      </w:r>
      <w:bookmarkStart w:id="146" w:name="_Toc2807_WPSOffice_Level2"/>
      <w:bookmarkStart w:id="147" w:name="_Toc27600_WPSOffice_Level2"/>
      <w:r>
        <w:rPr>
          <w:rFonts w:hint="eastAsia" w:asciiTheme="minorEastAsia" w:hAnsiTheme="minorEastAsia" w:eastAsiaTheme="minorEastAsia" w:cstheme="minorEastAsia"/>
          <w:b/>
          <w:bCs/>
          <w:sz w:val="28"/>
          <w:szCs w:val="28"/>
        </w:rPr>
        <w:t>供应商基本情况</w:t>
      </w:r>
      <w:bookmarkEnd w:id="141"/>
      <w:bookmarkEnd w:id="142"/>
      <w:bookmarkEnd w:id="143"/>
      <w:bookmarkEnd w:id="144"/>
      <w:bookmarkEnd w:id="145"/>
      <w:bookmarkEnd w:id="146"/>
      <w:bookmarkEnd w:id="147"/>
    </w:p>
    <w:p w14:paraId="14626F36">
      <w:pPr>
        <w:topLinePunct/>
        <w:spacing w:line="440" w:lineRule="exact"/>
        <w:jc w:val="center"/>
        <w:rPr>
          <w:rFonts w:hint="eastAsia" w:asciiTheme="minorEastAsia" w:hAnsiTheme="minorEastAsia" w:eastAsiaTheme="minorEastAsia" w:cstheme="minorEastAsia"/>
          <w:sz w:val="24"/>
          <w:szCs w:val="24"/>
        </w:rPr>
      </w:pPr>
    </w:p>
    <w:tbl>
      <w:tblPr>
        <w:tblStyle w:val="16"/>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0BC39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E2D3401">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37D9CE8">
            <w:pPr>
              <w:topLinePunct/>
              <w:spacing w:line="440" w:lineRule="exact"/>
              <w:jc w:val="center"/>
              <w:rPr>
                <w:rFonts w:hint="eastAsia" w:asciiTheme="minorEastAsia" w:hAnsiTheme="minorEastAsia" w:eastAsiaTheme="minorEastAsia" w:cstheme="minorEastAsia"/>
                <w:sz w:val="24"/>
                <w:szCs w:val="24"/>
              </w:rPr>
            </w:pPr>
          </w:p>
        </w:tc>
      </w:tr>
      <w:tr w14:paraId="21044E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6"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13362F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7F7638DD">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7F15601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5A9A42EB">
            <w:pPr>
              <w:topLinePunct/>
              <w:spacing w:line="440" w:lineRule="exact"/>
              <w:jc w:val="center"/>
              <w:rPr>
                <w:rFonts w:hint="eastAsia" w:asciiTheme="minorEastAsia" w:hAnsiTheme="minorEastAsia" w:eastAsiaTheme="minorEastAsia" w:cstheme="minorEastAsia"/>
                <w:sz w:val="24"/>
                <w:szCs w:val="24"/>
              </w:rPr>
            </w:pPr>
          </w:p>
        </w:tc>
      </w:tr>
      <w:tr w14:paraId="3C0EF6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0"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30D9859">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A3CFBC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F68A43E">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714EE811">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347ACD82">
            <w:pPr>
              <w:topLinePunct/>
              <w:spacing w:line="440" w:lineRule="exact"/>
              <w:jc w:val="center"/>
              <w:rPr>
                <w:rFonts w:hint="eastAsia" w:asciiTheme="minorEastAsia" w:hAnsiTheme="minorEastAsia" w:eastAsiaTheme="minorEastAsia" w:cstheme="minorEastAsia"/>
                <w:sz w:val="24"/>
                <w:szCs w:val="24"/>
              </w:rPr>
            </w:pPr>
          </w:p>
        </w:tc>
      </w:tr>
      <w:tr w14:paraId="45A5D8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4"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3EF0F0EC">
            <w:pPr>
              <w:topLinePunct/>
              <w:spacing w:line="440" w:lineRule="exact"/>
              <w:jc w:val="center"/>
              <w:rPr>
                <w:rFonts w:hint="eastAsia" w:asciiTheme="minorEastAsia" w:hAnsiTheme="minorEastAsia" w:eastAsiaTheme="minorEastAsia" w:cstheme="minorEastAsia"/>
                <w:sz w:val="24"/>
                <w:szCs w:val="24"/>
              </w:rPr>
            </w:pPr>
          </w:p>
        </w:tc>
        <w:tc>
          <w:tcPr>
            <w:tcW w:w="1087" w:type="dxa"/>
            <w:tcBorders>
              <w:top w:val="single" w:color="auto" w:sz="4" w:space="0"/>
              <w:left w:val="single" w:color="auto" w:sz="4" w:space="0"/>
              <w:bottom w:val="single" w:color="auto" w:sz="4" w:space="0"/>
              <w:right w:val="single" w:color="auto" w:sz="4" w:space="0"/>
            </w:tcBorders>
            <w:vAlign w:val="center"/>
          </w:tcPr>
          <w:p w14:paraId="0FE827A5">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1D5AC295">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45CEECC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电子邮箱</w:t>
            </w:r>
          </w:p>
        </w:tc>
        <w:tc>
          <w:tcPr>
            <w:tcW w:w="3124" w:type="dxa"/>
            <w:tcBorders>
              <w:top w:val="single" w:color="auto" w:sz="4" w:space="0"/>
              <w:left w:val="single" w:color="auto" w:sz="4" w:space="0"/>
              <w:bottom w:val="single" w:color="auto" w:sz="4" w:space="0"/>
              <w:right w:val="single" w:color="auto" w:sz="4" w:space="0"/>
            </w:tcBorders>
            <w:vAlign w:val="center"/>
          </w:tcPr>
          <w:p w14:paraId="33022D63">
            <w:pPr>
              <w:topLinePunct/>
              <w:spacing w:line="440" w:lineRule="exact"/>
              <w:jc w:val="center"/>
              <w:rPr>
                <w:rFonts w:hint="eastAsia" w:asciiTheme="minorEastAsia" w:hAnsiTheme="minorEastAsia" w:eastAsiaTheme="minorEastAsia" w:cstheme="minorEastAsia"/>
                <w:sz w:val="24"/>
                <w:szCs w:val="24"/>
              </w:rPr>
            </w:pPr>
          </w:p>
        </w:tc>
      </w:tr>
      <w:tr w14:paraId="1E432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7"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6AAACEC">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27D3DB5">
            <w:pPr>
              <w:topLinePunct/>
              <w:spacing w:line="440" w:lineRule="exact"/>
              <w:jc w:val="center"/>
              <w:rPr>
                <w:rFonts w:hint="eastAsia" w:asciiTheme="minorEastAsia" w:hAnsiTheme="minorEastAsia" w:eastAsiaTheme="minorEastAsia" w:cstheme="minorEastAsia"/>
                <w:sz w:val="24"/>
                <w:szCs w:val="24"/>
              </w:rPr>
            </w:pPr>
          </w:p>
        </w:tc>
        <w:tc>
          <w:tcPr>
            <w:tcW w:w="2173" w:type="dxa"/>
            <w:tcBorders>
              <w:top w:val="single" w:color="auto" w:sz="4" w:space="0"/>
              <w:left w:val="single" w:color="auto" w:sz="4" w:space="0"/>
              <w:bottom w:val="single" w:color="auto" w:sz="4" w:space="0"/>
              <w:right w:val="single" w:color="auto" w:sz="4" w:space="0"/>
            </w:tcBorders>
            <w:vAlign w:val="center"/>
          </w:tcPr>
          <w:p w14:paraId="7EA95D8D">
            <w:pPr>
              <w:topLinePunct/>
              <w:spacing w:line="440" w:lineRule="exact"/>
              <w:jc w:val="center"/>
              <w:rPr>
                <w:rFonts w:hint="eastAsia" w:asciiTheme="minorEastAsia" w:hAnsiTheme="minorEastAsia" w:eastAsiaTheme="minorEastAsia" w:cstheme="minorEastAsia"/>
                <w:sz w:val="24"/>
                <w:szCs w:val="24"/>
              </w:rPr>
            </w:pPr>
          </w:p>
        </w:tc>
        <w:tc>
          <w:tcPr>
            <w:tcW w:w="1084" w:type="dxa"/>
            <w:tcBorders>
              <w:top w:val="single" w:color="auto" w:sz="4" w:space="0"/>
              <w:left w:val="single" w:color="auto" w:sz="4" w:space="0"/>
              <w:bottom w:val="single" w:color="auto" w:sz="4" w:space="0"/>
              <w:right w:val="single" w:color="auto" w:sz="4" w:space="0"/>
            </w:tcBorders>
            <w:vAlign w:val="center"/>
          </w:tcPr>
          <w:p w14:paraId="4FDC54EA">
            <w:pPr>
              <w:topLinePunct/>
              <w:spacing w:line="440" w:lineRule="exact"/>
              <w:jc w:val="center"/>
              <w:rPr>
                <w:rFonts w:hint="eastAsia" w:asciiTheme="minorEastAsia" w:hAnsiTheme="minorEastAsia" w:eastAsiaTheme="minorEastAsia" w:cstheme="minorEastAsia"/>
                <w:sz w:val="24"/>
                <w:szCs w:val="24"/>
              </w:rPr>
            </w:pPr>
          </w:p>
        </w:tc>
        <w:tc>
          <w:tcPr>
            <w:tcW w:w="3124" w:type="dxa"/>
            <w:tcBorders>
              <w:top w:val="single" w:color="auto" w:sz="4" w:space="0"/>
              <w:left w:val="single" w:color="auto" w:sz="4" w:space="0"/>
              <w:bottom w:val="single" w:color="auto" w:sz="4" w:space="0"/>
              <w:right w:val="single" w:color="auto" w:sz="4" w:space="0"/>
            </w:tcBorders>
            <w:vAlign w:val="center"/>
          </w:tcPr>
          <w:p w14:paraId="7DCEF125">
            <w:pPr>
              <w:topLinePunct/>
              <w:spacing w:line="440" w:lineRule="exact"/>
              <w:jc w:val="center"/>
              <w:rPr>
                <w:rFonts w:hint="eastAsia" w:asciiTheme="minorEastAsia" w:hAnsiTheme="minorEastAsia" w:eastAsiaTheme="minorEastAsia" w:cstheme="minorEastAsia"/>
                <w:sz w:val="24"/>
                <w:szCs w:val="24"/>
              </w:rPr>
            </w:pPr>
          </w:p>
        </w:tc>
      </w:tr>
      <w:tr w14:paraId="28CFC9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7"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77570A4">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3D7F1CB">
            <w:pPr>
              <w:topLinePunct/>
              <w:spacing w:line="440" w:lineRule="exact"/>
              <w:jc w:val="center"/>
              <w:rPr>
                <w:rFonts w:hint="eastAsia" w:asciiTheme="minorEastAsia" w:hAnsiTheme="minorEastAsia" w:eastAsiaTheme="minorEastAsia" w:cstheme="minorEastAsia"/>
                <w:sz w:val="24"/>
                <w:szCs w:val="24"/>
              </w:rPr>
            </w:pPr>
          </w:p>
        </w:tc>
      </w:tr>
      <w:tr w14:paraId="19B94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623DDC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5883422">
            <w:pPr>
              <w:topLinePunct/>
              <w:spacing w:line="440" w:lineRule="exact"/>
              <w:rPr>
                <w:rFonts w:hint="eastAsia" w:asciiTheme="minorEastAsia" w:hAnsiTheme="minorEastAsia" w:eastAsiaTheme="minorEastAsia" w:cstheme="minorEastAsia"/>
                <w:sz w:val="24"/>
                <w:szCs w:val="24"/>
              </w:rPr>
            </w:pPr>
          </w:p>
          <w:p w14:paraId="3ADBF6B7">
            <w:pPr>
              <w:topLinePunct/>
              <w:spacing w:line="440" w:lineRule="exact"/>
              <w:jc w:val="center"/>
              <w:rPr>
                <w:rFonts w:hint="eastAsia" w:asciiTheme="minorEastAsia" w:hAnsiTheme="minorEastAsia" w:eastAsiaTheme="minorEastAsia" w:cstheme="minorEastAsia"/>
                <w:sz w:val="24"/>
                <w:szCs w:val="24"/>
              </w:rPr>
            </w:pPr>
          </w:p>
          <w:p w14:paraId="0CA59A4D">
            <w:pPr>
              <w:topLinePunct/>
              <w:spacing w:line="440" w:lineRule="exact"/>
              <w:rPr>
                <w:rFonts w:hint="eastAsia" w:asciiTheme="minorEastAsia" w:hAnsiTheme="minorEastAsia" w:eastAsiaTheme="minorEastAsia" w:cstheme="minorEastAsia"/>
                <w:sz w:val="24"/>
                <w:szCs w:val="24"/>
              </w:rPr>
            </w:pPr>
          </w:p>
        </w:tc>
      </w:tr>
      <w:tr w14:paraId="22852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C91E3BA">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76999D8">
            <w:pPr>
              <w:topLinePunct/>
              <w:spacing w:line="440" w:lineRule="exact"/>
              <w:jc w:val="center"/>
              <w:rPr>
                <w:rFonts w:hint="eastAsia" w:asciiTheme="minorEastAsia" w:hAnsiTheme="minorEastAsia" w:eastAsiaTheme="minorEastAsia" w:cstheme="minorEastAsia"/>
                <w:sz w:val="24"/>
                <w:szCs w:val="24"/>
              </w:rPr>
            </w:pPr>
          </w:p>
        </w:tc>
      </w:tr>
    </w:tbl>
    <w:p w14:paraId="6B6508B8">
      <w:pPr>
        <w:widowControl/>
        <w:autoSpaceDE w:val="0"/>
        <w:autoSpaceDN w:val="0"/>
        <w:spacing w:line="360" w:lineRule="atLeast"/>
        <w:ind w:left="18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14:paraId="755E6D2C">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在本表后应附企业法人营业执照、资质证书（如有）、授权代理证明材料（如有）及资格审查要求的其他证件复印件。</w:t>
      </w:r>
    </w:p>
    <w:p w14:paraId="07D6F6F2">
      <w:pPr>
        <w:widowControl/>
        <w:autoSpaceDE w:val="0"/>
        <w:autoSpaceDN w:val="0"/>
        <w:spacing w:line="360" w:lineRule="atLeast"/>
        <w:ind w:left="420" w:leftChars="200"/>
        <w:textAlignment w:val="bottom"/>
        <w:rPr>
          <w:rFonts w:hint="eastAsia" w:asciiTheme="minorEastAsia" w:hAnsiTheme="minorEastAsia" w:eastAsiaTheme="minorEastAsia" w:cstheme="minorEastAsia"/>
          <w:szCs w:val="21"/>
        </w:rPr>
      </w:pPr>
    </w:p>
    <w:p w14:paraId="1C9A6D20">
      <w:pPr>
        <w:widowControl/>
        <w:rPr>
          <w:rFonts w:hint="eastAsia" w:ascii="Times New Roman" w:hAnsi="Times New Roman" w:eastAsia="黑体" w:cs="Times New Roman"/>
          <w:sz w:val="28"/>
          <w:szCs w:val="28"/>
        </w:rPr>
      </w:pPr>
      <w:r>
        <w:rPr>
          <w:rFonts w:ascii="Times New Roman" w:hAnsi="Times New Roman" w:eastAsia="黑体" w:cs="Times New Roman"/>
          <w:szCs w:val="21"/>
        </w:rPr>
        <w:br w:type="page"/>
      </w:r>
      <w:bookmarkStart w:id="148" w:name="_Toc18547_WPSOffice_Level1"/>
      <w:bookmarkStart w:id="149" w:name="_Toc19004_WPSOffice_Level1"/>
      <w:bookmarkStart w:id="150" w:name="_Toc1452_WPSOffice_Level1"/>
      <w:bookmarkStart w:id="151" w:name="_Toc3772_WPSOffice_Level1"/>
      <w:bookmarkStart w:id="152" w:name="_Toc5072_WPSOffice_Level1"/>
    </w:p>
    <w:p w14:paraId="2AC40F4F">
      <w:pPr>
        <w:pStyle w:val="6"/>
        <w:spacing w:line="240" w:lineRule="atLeast"/>
        <w:ind w:left="562" w:leftChars="0" w:right="-512" w:rightChars="-244" w:hanging="562" w:hangingChars="200"/>
        <w:jc w:val="center"/>
        <w:rPr>
          <w:rFonts w:hint="eastAsia" w:asciiTheme="minorEastAsia" w:hAnsiTheme="minorEastAsia" w:eastAsiaTheme="minorEastAsia" w:cstheme="minorEastAsia"/>
          <w:b/>
          <w:bCs/>
          <w:sz w:val="28"/>
          <w:szCs w:val="28"/>
        </w:rPr>
      </w:pPr>
    </w:p>
    <w:p w14:paraId="6F2318DF">
      <w:pPr>
        <w:pStyle w:val="6"/>
        <w:spacing w:line="240" w:lineRule="atLeast"/>
        <w:ind w:left="562" w:leftChars="0" w:right="-512" w:rightChars="-244" w:hanging="562" w:hangingChars="200"/>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五、近年类似业绩情况</w:t>
      </w:r>
      <w:bookmarkEnd w:id="148"/>
      <w:bookmarkEnd w:id="149"/>
      <w:bookmarkEnd w:id="150"/>
      <w:bookmarkEnd w:id="151"/>
      <w:bookmarkEnd w:id="152"/>
    </w:p>
    <w:tbl>
      <w:tblPr>
        <w:tblStyle w:val="16"/>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3B37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32E8DCD2">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项目名称</w:t>
            </w:r>
          </w:p>
        </w:tc>
        <w:tc>
          <w:tcPr>
            <w:tcW w:w="6609" w:type="dxa"/>
          </w:tcPr>
          <w:p w14:paraId="1F0CEF77">
            <w:pPr>
              <w:topLinePunct/>
              <w:spacing w:line="440" w:lineRule="exact"/>
              <w:rPr>
                <w:rFonts w:hint="eastAsia" w:asciiTheme="minorEastAsia" w:hAnsiTheme="minorEastAsia" w:eastAsiaTheme="minorEastAsia" w:cstheme="minorEastAsia"/>
                <w:sz w:val="24"/>
                <w:szCs w:val="24"/>
              </w:rPr>
            </w:pPr>
          </w:p>
        </w:tc>
      </w:tr>
      <w:tr w14:paraId="232A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039B76C3">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供货地点</w:t>
            </w:r>
          </w:p>
        </w:tc>
        <w:tc>
          <w:tcPr>
            <w:tcW w:w="6609" w:type="dxa"/>
          </w:tcPr>
          <w:p w14:paraId="6B93D177">
            <w:pPr>
              <w:topLinePunct/>
              <w:spacing w:line="440" w:lineRule="exact"/>
              <w:rPr>
                <w:rFonts w:hint="eastAsia" w:asciiTheme="minorEastAsia" w:hAnsiTheme="minorEastAsia" w:eastAsiaTheme="minorEastAsia" w:cstheme="minorEastAsia"/>
                <w:sz w:val="24"/>
                <w:szCs w:val="24"/>
              </w:rPr>
            </w:pPr>
          </w:p>
        </w:tc>
      </w:tr>
      <w:tr w14:paraId="6ADF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7D6D4395">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业主名称</w:t>
            </w:r>
          </w:p>
        </w:tc>
        <w:tc>
          <w:tcPr>
            <w:tcW w:w="6609" w:type="dxa"/>
          </w:tcPr>
          <w:p w14:paraId="47DD7E56">
            <w:pPr>
              <w:topLinePunct/>
              <w:spacing w:line="440" w:lineRule="exact"/>
              <w:rPr>
                <w:rFonts w:hint="eastAsia" w:asciiTheme="minorEastAsia" w:hAnsiTheme="minorEastAsia" w:eastAsiaTheme="minorEastAsia" w:cstheme="minorEastAsia"/>
                <w:sz w:val="24"/>
                <w:szCs w:val="24"/>
              </w:rPr>
            </w:pPr>
          </w:p>
        </w:tc>
      </w:tr>
      <w:tr w14:paraId="73B26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20A0718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业主地址</w:t>
            </w:r>
          </w:p>
        </w:tc>
        <w:tc>
          <w:tcPr>
            <w:tcW w:w="6609" w:type="dxa"/>
          </w:tcPr>
          <w:p w14:paraId="5EF55776">
            <w:pPr>
              <w:topLinePunct/>
              <w:spacing w:line="440" w:lineRule="exact"/>
              <w:rPr>
                <w:rFonts w:hint="eastAsia" w:asciiTheme="minorEastAsia" w:hAnsiTheme="minorEastAsia" w:eastAsiaTheme="minorEastAsia" w:cstheme="minorEastAsia"/>
                <w:sz w:val="24"/>
                <w:szCs w:val="24"/>
              </w:rPr>
            </w:pPr>
          </w:p>
        </w:tc>
      </w:tr>
      <w:tr w14:paraId="77DED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4D023D6F">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业主电话</w:t>
            </w:r>
          </w:p>
        </w:tc>
        <w:tc>
          <w:tcPr>
            <w:tcW w:w="6609" w:type="dxa"/>
          </w:tcPr>
          <w:p w14:paraId="437F3409">
            <w:pPr>
              <w:topLinePunct/>
              <w:spacing w:line="440" w:lineRule="exact"/>
              <w:rPr>
                <w:rFonts w:hint="eastAsia" w:asciiTheme="minorEastAsia" w:hAnsiTheme="minorEastAsia" w:eastAsiaTheme="minorEastAsia" w:cstheme="minorEastAsia"/>
                <w:sz w:val="24"/>
                <w:szCs w:val="24"/>
              </w:rPr>
            </w:pPr>
          </w:p>
        </w:tc>
      </w:tr>
      <w:tr w14:paraId="31766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4701555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合同价格</w:t>
            </w:r>
          </w:p>
        </w:tc>
        <w:tc>
          <w:tcPr>
            <w:tcW w:w="6609" w:type="dxa"/>
          </w:tcPr>
          <w:p w14:paraId="6E58B55C">
            <w:pPr>
              <w:topLinePunct/>
              <w:spacing w:line="440" w:lineRule="exact"/>
              <w:rPr>
                <w:rFonts w:hint="eastAsia" w:asciiTheme="minorEastAsia" w:hAnsiTheme="minorEastAsia" w:eastAsiaTheme="minorEastAsia" w:cstheme="minorEastAsia"/>
                <w:sz w:val="24"/>
                <w:szCs w:val="24"/>
              </w:rPr>
            </w:pPr>
          </w:p>
        </w:tc>
      </w:tr>
      <w:tr w14:paraId="17DB4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6D8351B">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供货期</w:t>
            </w:r>
          </w:p>
        </w:tc>
        <w:tc>
          <w:tcPr>
            <w:tcW w:w="6609" w:type="dxa"/>
          </w:tcPr>
          <w:p w14:paraId="453FF4B0">
            <w:pPr>
              <w:topLinePunct/>
              <w:spacing w:line="440" w:lineRule="exact"/>
              <w:rPr>
                <w:rFonts w:hint="eastAsia" w:asciiTheme="minorEastAsia" w:hAnsiTheme="minorEastAsia" w:eastAsiaTheme="minorEastAsia" w:cstheme="minorEastAsia"/>
                <w:sz w:val="24"/>
                <w:szCs w:val="24"/>
              </w:rPr>
            </w:pPr>
          </w:p>
        </w:tc>
      </w:tr>
      <w:tr w14:paraId="7A41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00B8FD59">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供货型号及数量</w:t>
            </w:r>
          </w:p>
        </w:tc>
        <w:tc>
          <w:tcPr>
            <w:tcW w:w="6609" w:type="dxa"/>
          </w:tcPr>
          <w:p w14:paraId="10E62491">
            <w:pPr>
              <w:topLinePunct/>
              <w:spacing w:line="440" w:lineRule="exact"/>
              <w:rPr>
                <w:rFonts w:hint="eastAsia" w:asciiTheme="minorEastAsia" w:hAnsiTheme="minorEastAsia" w:eastAsiaTheme="minorEastAsia" w:cstheme="minorEastAsia"/>
                <w:sz w:val="24"/>
                <w:szCs w:val="24"/>
              </w:rPr>
            </w:pPr>
          </w:p>
        </w:tc>
      </w:tr>
      <w:tr w14:paraId="6D4D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4E79DC5C">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项目描述</w:t>
            </w:r>
          </w:p>
        </w:tc>
        <w:tc>
          <w:tcPr>
            <w:tcW w:w="6609" w:type="dxa"/>
          </w:tcPr>
          <w:p w14:paraId="5A0D7356">
            <w:pPr>
              <w:topLinePunct/>
              <w:spacing w:line="440" w:lineRule="exact"/>
              <w:rPr>
                <w:rFonts w:hint="eastAsia" w:asciiTheme="minorEastAsia" w:hAnsiTheme="minorEastAsia" w:eastAsiaTheme="minorEastAsia" w:cstheme="minorEastAsia"/>
                <w:sz w:val="24"/>
                <w:szCs w:val="24"/>
              </w:rPr>
            </w:pPr>
          </w:p>
        </w:tc>
      </w:tr>
      <w:tr w14:paraId="18545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24BC2F0">
            <w:pPr>
              <w:topLinePunct/>
              <w:spacing w:line="440" w:lineRule="exac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备注</w:t>
            </w:r>
          </w:p>
        </w:tc>
        <w:tc>
          <w:tcPr>
            <w:tcW w:w="6609" w:type="dxa"/>
          </w:tcPr>
          <w:p w14:paraId="4E5A3CB7">
            <w:pPr>
              <w:topLinePunct/>
              <w:spacing w:line="440" w:lineRule="exact"/>
              <w:rPr>
                <w:rFonts w:hint="eastAsia" w:asciiTheme="minorEastAsia" w:hAnsiTheme="minorEastAsia" w:eastAsiaTheme="minorEastAsia" w:cstheme="minorEastAsia"/>
                <w:sz w:val="24"/>
                <w:szCs w:val="24"/>
              </w:rPr>
            </w:pPr>
          </w:p>
        </w:tc>
      </w:tr>
    </w:tbl>
    <w:p w14:paraId="42C8A441">
      <w:pPr>
        <w:widowControl/>
        <w:autoSpaceDE w:val="0"/>
        <w:autoSpaceDN w:val="0"/>
        <w:spacing w:line="360" w:lineRule="atLeast"/>
        <w:textAlignment w:val="bottom"/>
        <w:rPr>
          <w:rFonts w:hint="eastAsia" w:asciiTheme="minorEastAsia" w:hAnsiTheme="minorEastAsia" w:eastAsiaTheme="minorEastAsia" w:cstheme="minorEastAsia"/>
          <w:sz w:val="24"/>
          <w:szCs w:val="24"/>
        </w:rPr>
      </w:pPr>
    </w:p>
    <w:p w14:paraId="2D8941E0">
      <w:pPr>
        <w:widowControl/>
        <w:autoSpaceDE w:val="0"/>
        <w:autoSpaceDN w:val="0"/>
        <w:spacing w:line="360" w:lineRule="atLeast"/>
        <w:ind w:left="418" w:hanging="501" w:hangingChars="209"/>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w:t>
      </w:r>
    </w:p>
    <w:p w14:paraId="0E931238">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1、每张表格只填写一个项目，并标明序号。</w:t>
      </w:r>
    </w:p>
    <w:p w14:paraId="1C8C22BB">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rPr>
        <w:t>2、业绩证明材料要求：</w:t>
      </w:r>
      <w:r>
        <w:rPr>
          <w:rFonts w:hint="eastAsia" w:asciiTheme="minorEastAsia" w:hAnsiTheme="minorEastAsia" w:eastAsiaTheme="minorEastAsia" w:cstheme="minorEastAsia"/>
          <w:sz w:val="24"/>
          <w:szCs w:val="24"/>
          <w:u w:val="single"/>
        </w:rPr>
        <w:t>近3年内</w:t>
      </w:r>
      <w:bookmarkStart w:id="158" w:name="_GoBack"/>
      <w:bookmarkEnd w:id="158"/>
      <w:r>
        <w:rPr>
          <w:rFonts w:hint="eastAsia" w:asciiTheme="minorEastAsia" w:hAnsiTheme="minorEastAsia" w:eastAsiaTheme="minorEastAsia" w:cstheme="minorEastAsia"/>
          <w:sz w:val="24"/>
          <w:szCs w:val="24"/>
          <w:u w:val="single"/>
          <w:lang w:val="en-US" w:eastAsia="zh-CN"/>
        </w:rPr>
        <w:t>相关业绩</w:t>
      </w:r>
      <w:r>
        <w:rPr>
          <w:rFonts w:hint="eastAsia" w:asciiTheme="minorEastAsia" w:hAnsiTheme="minorEastAsia" w:eastAsiaTheme="minorEastAsia" w:cstheme="minorEastAsia"/>
          <w:sz w:val="24"/>
          <w:szCs w:val="24"/>
          <w:u w:val="single"/>
        </w:rPr>
        <w:t>合同</w:t>
      </w:r>
      <w:r>
        <w:rPr>
          <w:rFonts w:hint="eastAsia" w:asciiTheme="minorEastAsia" w:hAnsiTheme="minorEastAsia" w:eastAsiaTheme="minorEastAsia" w:cstheme="minorEastAsia"/>
          <w:sz w:val="24"/>
          <w:szCs w:val="24"/>
          <w:u w:val="single"/>
          <w:lang w:val="en-US" w:eastAsia="zh-CN"/>
        </w:rPr>
        <w:t>.</w:t>
      </w:r>
    </w:p>
    <w:p w14:paraId="62345E8B">
      <w:pPr>
        <w:widowControl/>
        <w:autoSpaceDE w:val="0"/>
        <w:autoSpaceDN w:val="0"/>
        <w:spacing w:line="360" w:lineRule="atLeast"/>
        <w:ind w:left="420" w:leftChars="200"/>
        <w:textAlignment w:val="bottom"/>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3、如近年来，供应商法人机构发生合法变更或重组或法人名称变更时，应提供相关部门的合法批件或其他相关证明材料来证明其所附业绩的继承性。</w:t>
      </w:r>
    </w:p>
    <w:p w14:paraId="714F4A16">
      <w:pPr>
        <w:pStyle w:val="5"/>
        <w:rPr>
          <w:rFonts w:hint="eastAsia" w:asciiTheme="minorEastAsia" w:hAnsiTheme="minorEastAsia" w:eastAsiaTheme="minorEastAsia" w:cstheme="minorEastAsia"/>
          <w:sz w:val="24"/>
          <w:szCs w:val="24"/>
        </w:rPr>
      </w:pPr>
    </w:p>
    <w:p w14:paraId="367490F6">
      <w:pPr>
        <w:topLinePunct/>
        <w:spacing w:line="340" w:lineRule="atLeast"/>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br w:type="page"/>
      </w:r>
      <w:bookmarkStart w:id="153" w:name="_Toc30712_WPSOffice_Level1"/>
      <w:bookmarkStart w:id="154" w:name="_Toc12019_WPSOffice_Level1"/>
      <w:bookmarkStart w:id="155" w:name="_Toc3893_WPSOffice_Level1"/>
      <w:bookmarkStart w:id="156" w:name="_Toc5403_WPSOffice_Level1"/>
      <w:bookmarkStart w:id="157" w:name="_Toc9267_WPSOffice_Level1"/>
    </w:p>
    <w:p w14:paraId="3F16A1D1">
      <w:pPr>
        <w:topLinePunct/>
        <w:spacing w:line="340" w:lineRule="atLeast"/>
        <w:jc w:val="center"/>
        <w:rPr>
          <w:rFonts w:hint="eastAsia" w:asciiTheme="minorEastAsia" w:hAnsiTheme="minorEastAsia" w:eastAsiaTheme="minorEastAsia" w:cstheme="minorEastAsia"/>
          <w:sz w:val="24"/>
          <w:szCs w:val="24"/>
        </w:rPr>
      </w:pPr>
    </w:p>
    <w:p w14:paraId="7D30ED7F">
      <w:pPr>
        <w:topLinePunct/>
        <w:spacing w:line="340" w:lineRule="atLeast"/>
        <w:jc w:val="center"/>
        <w:rPr>
          <w:rFonts w:hint="eastAsia" w:asciiTheme="minorEastAsia" w:hAnsiTheme="minorEastAsia" w:eastAsiaTheme="minorEastAsia" w:cstheme="minorEastAsia"/>
          <w:sz w:val="24"/>
          <w:szCs w:val="24"/>
        </w:rPr>
      </w:pPr>
    </w:p>
    <w:p w14:paraId="563001F8">
      <w:pPr>
        <w:numPr>
          <w:ilvl w:val="0"/>
          <w:numId w:val="6"/>
        </w:numPr>
        <w:tabs>
          <w:tab w:val="left" w:pos="3060"/>
        </w:tabs>
        <w:topLinePunct/>
        <w:spacing w:line="440" w:lineRule="exact"/>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信誉情况</w:t>
      </w:r>
      <w:bookmarkEnd w:id="153"/>
      <w:bookmarkEnd w:id="154"/>
      <w:bookmarkEnd w:id="155"/>
      <w:bookmarkEnd w:id="156"/>
      <w:bookmarkEnd w:id="157"/>
    </w:p>
    <w:p w14:paraId="45245308">
      <w:pPr>
        <w:numPr>
          <w:ilvl w:val="0"/>
          <w:numId w:val="0"/>
        </w:numPr>
        <w:tabs>
          <w:tab w:val="left" w:pos="3060"/>
        </w:tabs>
        <w:topLinePunct/>
        <w:spacing w:line="440" w:lineRule="exact"/>
        <w:jc w:val="both"/>
        <w:rPr>
          <w:rFonts w:hint="eastAsia" w:asciiTheme="minorEastAsia" w:hAnsiTheme="minorEastAsia" w:eastAsiaTheme="minorEastAsia" w:cstheme="minorEastAsia"/>
          <w:b/>
          <w:bCs/>
          <w:sz w:val="28"/>
          <w:szCs w:val="28"/>
        </w:rPr>
      </w:pP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7F08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0BD5E00B">
            <w:pPr>
              <w:topLinePunct/>
              <w:spacing w:line="44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项目</w:t>
            </w:r>
          </w:p>
        </w:tc>
        <w:tc>
          <w:tcPr>
            <w:tcW w:w="4445" w:type="dxa"/>
          </w:tcPr>
          <w:p w14:paraId="01842DE8">
            <w:pPr>
              <w:topLinePunct/>
              <w:spacing w:line="440" w:lineRule="exact"/>
              <w:jc w:val="center"/>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供应商情况说明</w:t>
            </w:r>
          </w:p>
        </w:tc>
      </w:tr>
      <w:tr w14:paraId="0DA46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5CD1748">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是否被责令停业，暂扣或吊销执照，或吊销资质证书</w:t>
            </w:r>
          </w:p>
        </w:tc>
        <w:tc>
          <w:tcPr>
            <w:tcW w:w="4445" w:type="dxa"/>
          </w:tcPr>
          <w:p w14:paraId="3A6A62BB">
            <w:pPr>
              <w:topLinePunct/>
              <w:spacing w:line="440" w:lineRule="exact"/>
              <w:rPr>
                <w:rFonts w:hint="eastAsia" w:asciiTheme="minorEastAsia" w:hAnsiTheme="minorEastAsia" w:eastAsiaTheme="minorEastAsia" w:cstheme="minorEastAsia"/>
                <w:bCs/>
                <w:sz w:val="24"/>
                <w:szCs w:val="24"/>
              </w:rPr>
            </w:pPr>
          </w:p>
        </w:tc>
      </w:tr>
      <w:tr w14:paraId="1D7E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8FDA95B">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是否进入清算程序，或被宣告破产，或其他丧失履约能力的情形</w:t>
            </w:r>
          </w:p>
        </w:tc>
        <w:tc>
          <w:tcPr>
            <w:tcW w:w="4445" w:type="dxa"/>
          </w:tcPr>
          <w:p w14:paraId="3BEF0288">
            <w:pPr>
              <w:topLinePunct/>
              <w:spacing w:line="440" w:lineRule="exact"/>
              <w:rPr>
                <w:rFonts w:hint="eastAsia" w:asciiTheme="minorEastAsia" w:hAnsiTheme="minorEastAsia" w:eastAsiaTheme="minorEastAsia" w:cstheme="minorEastAsia"/>
                <w:bCs/>
                <w:sz w:val="24"/>
                <w:szCs w:val="24"/>
              </w:rPr>
            </w:pPr>
          </w:p>
        </w:tc>
      </w:tr>
      <w:tr w14:paraId="2BF84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1F49D8D">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是否在国家企业信用信息公示系统（http://www.gsxt.gov.cn）中被列入严重违法失信企业名单</w:t>
            </w:r>
          </w:p>
        </w:tc>
        <w:tc>
          <w:tcPr>
            <w:tcW w:w="4445" w:type="dxa"/>
          </w:tcPr>
          <w:p w14:paraId="74740475">
            <w:pPr>
              <w:topLinePunct/>
              <w:spacing w:line="440" w:lineRule="exact"/>
              <w:rPr>
                <w:rFonts w:hint="eastAsia" w:asciiTheme="minorEastAsia" w:hAnsiTheme="minorEastAsia" w:eastAsiaTheme="minorEastAsia" w:cstheme="minorEastAsia"/>
                <w:bCs/>
                <w:sz w:val="24"/>
                <w:szCs w:val="24"/>
              </w:rPr>
            </w:pPr>
          </w:p>
        </w:tc>
      </w:tr>
      <w:tr w14:paraId="22EA5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82E52F4">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是否在“信用中国”网站（http://www.creditchina.gov.cn）中被列入失信被执行人名单</w:t>
            </w:r>
          </w:p>
        </w:tc>
        <w:tc>
          <w:tcPr>
            <w:tcW w:w="4445" w:type="dxa"/>
          </w:tcPr>
          <w:p w14:paraId="0C27AE35">
            <w:pPr>
              <w:topLinePunct/>
              <w:spacing w:line="440" w:lineRule="exact"/>
              <w:rPr>
                <w:rFonts w:hint="eastAsia" w:asciiTheme="minorEastAsia" w:hAnsiTheme="minorEastAsia" w:eastAsiaTheme="minorEastAsia" w:cstheme="minorEastAsia"/>
                <w:bCs/>
                <w:sz w:val="24"/>
                <w:szCs w:val="24"/>
              </w:rPr>
            </w:pPr>
          </w:p>
        </w:tc>
      </w:tr>
      <w:tr w14:paraId="59E92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BD2C5AD">
            <w:pPr>
              <w:topLinePunct/>
              <w:spacing w:line="440" w:lineRule="exact"/>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sz w:val="24"/>
                <w:szCs w:val="24"/>
              </w:rPr>
              <w:t>是否在近三年内（自响应文件递交截止之日向前追溯3年）供应商或其法定代表人有行贿犯罪行为</w:t>
            </w:r>
          </w:p>
        </w:tc>
        <w:tc>
          <w:tcPr>
            <w:tcW w:w="4445" w:type="dxa"/>
          </w:tcPr>
          <w:p w14:paraId="52E4C0C2">
            <w:pPr>
              <w:topLinePunct/>
              <w:spacing w:line="440" w:lineRule="exact"/>
              <w:rPr>
                <w:rFonts w:hint="eastAsia" w:asciiTheme="minorEastAsia" w:hAnsiTheme="minorEastAsia" w:eastAsiaTheme="minorEastAsia" w:cstheme="minorEastAsia"/>
                <w:bCs/>
                <w:sz w:val="24"/>
                <w:szCs w:val="24"/>
              </w:rPr>
            </w:pPr>
          </w:p>
        </w:tc>
      </w:tr>
      <w:tr w14:paraId="0116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3EE23DF">
            <w:pPr>
              <w:topLinePunct/>
              <w:spacing w:line="440" w:lineRule="exac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4445" w:type="dxa"/>
          </w:tcPr>
          <w:p w14:paraId="2538B319">
            <w:pPr>
              <w:topLinePunct/>
              <w:spacing w:line="440" w:lineRule="exact"/>
              <w:rPr>
                <w:rFonts w:hint="eastAsia" w:asciiTheme="minorEastAsia" w:hAnsiTheme="minorEastAsia" w:eastAsiaTheme="minorEastAsia" w:cstheme="minorEastAsia"/>
                <w:bCs/>
                <w:sz w:val="24"/>
                <w:szCs w:val="24"/>
              </w:rPr>
            </w:pPr>
          </w:p>
        </w:tc>
      </w:tr>
    </w:tbl>
    <w:p w14:paraId="7D926507">
      <w:pPr>
        <w:spacing w:line="440" w:lineRule="exact"/>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注：本表无需附证明材料。</w:t>
      </w:r>
    </w:p>
    <w:p w14:paraId="21C305EC">
      <w:pPr>
        <w:pStyle w:val="5"/>
        <w:jc w:val="right"/>
        <w:rPr>
          <w:rFonts w:hint="eastAsia" w:asciiTheme="minorEastAsia" w:hAnsiTheme="minorEastAsia" w:eastAsiaTheme="minorEastAsia" w:cstheme="minorEastAsia"/>
          <w:sz w:val="24"/>
          <w:szCs w:val="24"/>
        </w:rPr>
      </w:pPr>
    </w:p>
    <w:p w14:paraId="24B3C7C2">
      <w:pPr>
        <w:spacing w:line="440" w:lineRule="exact"/>
        <w:jc w:val="center"/>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供应商：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盖单位章</w:t>
      </w:r>
      <w:r>
        <w:rPr>
          <w:rFonts w:hint="eastAsia" w:asciiTheme="minorEastAsia" w:hAnsiTheme="minorEastAsia" w:eastAsiaTheme="minorEastAsia" w:cstheme="minorEastAsia"/>
          <w:sz w:val="24"/>
          <w:szCs w:val="24"/>
          <w:lang w:eastAsia="zh-CN"/>
        </w:rPr>
        <w:t>）</w:t>
      </w:r>
    </w:p>
    <w:p w14:paraId="445F088C">
      <w:pPr>
        <w:pStyle w:val="5"/>
        <w:jc w:val="righ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年</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日</w:t>
      </w:r>
    </w:p>
    <w:p w14:paraId="1F4FDF96">
      <w:pPr>
        <w:pStyle w:val="5"/>
        <w:rPr>
          <w:rFonts w:hint="eastAsia" w:asciiTheme="minorEastAsia" w:hAnsiTheme="minorEastAsia" w:eastAsiaTheme="minorEastAsia" w:cstheme="minorEastAsia"/>
          <w:sz w:val="24"/>
          <w:szCs w:val="24"/>
        </w:rPr>
      </w:pPr>
    </w:p>
    <w:p w14:paraId="58062EFC">
      <w:pPr>
        <w:pStyle w:val="5"/>
        <w:spacing w:line="440" w:lineRule="exact"/>
        <w:rPr>
          <w:rFonts w:hint="eastAsia" w:asciiTheme="minorEastAsia" w:hAnsiTheme="minorEastAsia" w:eastAsiaTheme="minorEastAsia" w:cstheme="minorEastAsia"/>
          <w:sz w:val="24"/>
          <w:szCs w:val="24"/>
        </w:rPr>
      </w:pPr>
    </w:p>
    <w:p w14:paraId="7F5C2D02">
      <w:pPr>
        <w:spacing w:line="400" w:lineRule="atLeast"/>
      </w:pPr>
    </w:p>
    <w:p w14:paraId="55CF0F15">
      <w:pPr>
        <w:pStyle w:val="5"/>
      </w:pPr>
    </w:p>
    <w:p w14:paraId="07D19BD9">
      <w:pPr>
        <w:pStyle w:val="5"/>
      </w:pPr>
    </w:p>
    <w:p w14:paraId="1289D5D2">
      <w:pPr>
        <w:pStyle w:val="5"/>
      </w:pPr>
    </w:p>
    <w:p w14:paraId="7BCB83DE">
      <w:pPr>
        <w:pStyle w:val="5"/>
      </w:pPr>
    </w:p>
    <w:p w14:paraId="6D2B7D27">
      <w:pPr>
        <w:pStyle w:val="5"/>
      </w:pPr>
    </w:p>
    <w:p w14:paraId="09DB44A5">
      <w:pPr>
        <w:pStyle w:val="5"/>
      </w:pPr>
    </w:p>
    <w:p w14:paraId="544AE92C">
      <w:pPr>
        <w:pStyle w:val="5"/>
        <w:numPr>
          <w:ilvl w:val="0"/>
          <w:numId w:val="7"/>
        </w:num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8"/>
          <w:szCs w:val="28"/>
        </w:rPr>
        <w:t>技术性能（质量）指标描述</w:t>
      </w:r>
    </w:p>
    <w:tbl>
      <w:tblPr>
        <w:tblStyle w:val="16"/>
        <w:tblpPr w:leftFromText="180" w:rightFromText="180" w:vertAnchor="text" w:horzAnchor="page" w:tblpXSpec="center" w:tblpY="8"/>
        <w:tblOverlap w:val="never"/>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0DF5B6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747D5798">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w:t>
            </w:r>
          </w:p>
        </w:tc>
        <w:tc>
          <w:tcPr>
            <w:tcW w:w="4656" w:type="dxa"/>
            <w:tcBorders>
              <w:tl2br w:val="nil"/>
              <w:tr2bl w:val="nil"/>
            </w:tcBorders>
            <w:vAlign w:val="center"/>
          </w:tcPr>
          <w:p w14:paraId="5BB7BFFD">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买 方 要 求</w:t>
            </w:r>
          </w:p>
        </w:tc>
        <w:tc>
          <w:tcPr>
            <w:tcW w:w="1980" w:type="dxa"/>
            <w:tcBorders>
              <w:tl2br w:val="nil"/>
              <w:tr2bl w:val="nil"/>
            </w:tcBorders>
            <w:vAlign w:val="center"/>
          </w:tcPr>
          <w:p w14:paraId="76023932">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卖 方 响 应</w:t>
            </w:r>
          </w:p>
        </w:tc>
        <w:tc>
          <w:tcPr>
            <w:tcW w:w="1140" w:type="dxa"/>
            <w:tcBorders>
              <w:tl2br w:val="nil"/>
              <w:tr2bl w:val="nil"/>
            </w:tcBorders>
            <w:vAlign w:val="center"/>
          </w:tcPr>
          <w:p w14:paraId="2D965D4C">
            <w:pPr>
              <w:adjustRightInd w:val="0"/>
              <w:snapToGrid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偏 差</w:t>
            </w:r>
          </w:p>
        </w:tc>
      </w:tr>
      <w:tr w14:paraId="23DD02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08570BF0">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33B33E15">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3455E5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FE2A646">
            <w:pPr>
              <w:adjustRightInd w:val="0"/>
              <w:snapToGrid w:val="0"/>
              <w:jc w:val="left"/>
              <w:rPr>
                <w:rFonts w:hint="eastAsia" w:asciiTheme="minorEastAsia" w:hAnsiTheme="minorEastAsia" w:eastAsiaTheme="minorEastAsia" w:cstheme="minorEastAsia"/>
                <w:sz w:val="24"/>
                <w:szCs w:val="24"/>
              </w:rPr>
            </w:pPr>
          </w:p>
        </w:tc>
      </w:tr>
      <w:tr w14:paraId="30C4D0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047CFD9A">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6C721A0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26E1D58A">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D37DD57">
            <w:pPr>
              <w:adjustRightInd w:val="0"/>
              <w:snapToGrid w:val="0"/>
              <w:jc w:val="left"/>
              <w:rPr>
                <w:rFonts w:hint="eastAsia" w:asciiTheme="minorEastAsia" w:hAnsiTheme="minorEastAsia" w:eastAsiaTheme="minorEastAsia" w:cstheme="minorEastAsia"/>
                <w:sz w:val="24"/>
                <w:szCs w:val="24"/>
              </w:rPr>
            </w:pPr>
          </w:p>
        </w:tc>
      </w:tr>
      <w:tr w14:paraId="40D62A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1D320BD7">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247E0E2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1FEE907">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108CF18D">
            <w:pPr>
              <w:adjustRightInd w:val="0"/>
              <w:snapToGrid w:val="0"/>
              <w:jc w:val="left"/>
              <w:rPr>
                <w:rFonts w:hint="eastAsia" w:asciiTheme="minorEastAsia" w:hAnsiTheme="minorEastAsia" w:eastAsiaTheme="minorEastAsia" w:cstheme="minorEastAsia"/>
                <w:sz w:val="24"/>
                <w:szCs w:val="24"/>
              </w:rPr>
            </w:pPr>
          </w:p>
        </w:tc>
      </w:tr>
      <w:tr w14:paraId="0EDDB9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690BB190">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F65D7F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BE84943">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6DBE5CD">
            <w:pPr>
              <w:adjustRightInd w:val="0"/>
              <w:snapToGrid w:val="0"/>
              <w:jc w:val="left"/>
              <w:rPr>
                <w:rFonts w:hint="eastAsia" w:asciiTheme="minorEastAsia" w:hAnsiTheme="minorEastAsia" w:eastAsiaTheme="minorEastAsia" w:cstheme="minorEastAsia"/>
                <w:sz w:val="24"/>
                <w:szCs w:val="24"/>
              </w:rPr>
            </w:pPr>
          </w:p>
        </w:tc>
      </w:tr>
      <w:tr w14:paraId="29CD0D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519EC4AB">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501C0D56">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26D9C44B">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9787DB8">
            <w:pPr>
              <w:adjustRightInd w:val="0"/>
              <w:snapToGrid w:val="0"/>
              <w:jc w:val="left"/>
              <w:rPr>
                <w:rFonts w:hint="eastAsia" w:asciiTheme="minorEastAsia" w:hAnsiTheme="minorEastAsia" w:eastAsiaTheme="minorEastAsia" w:cstheme="minorEastAsia"/>
                <w:sz w:val="24"/>
                <w:szCs w:val="24"/>
              </w:rPr>
            </w:pPr>
          </w:p>
        </w:tc>
      </w:tr>
      <w:tr w14:paraId="470BD68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649BC772">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7412C6D">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33B2E5F">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E81DA2F">
            <w:pPr>
              <w:adjustRightInd w:val="0"/>
              <w:snapToGrid w:val="0"/>
              <w:jc w:val="left"/>
              <w:rPr>
                <w:rFonts w:hint="eastAsia" w:asciiTheme="minorEastAsia" w:hAnsiTheme="minorEastAsia" w:eastAsiaTheme="minorEastAsia" w:cstheme="minorEastAsia"/>
                <w:sz w:val="24"/>
                <w:szCs w:val="24"/>
              </w:rPr>
            </w:pPr>
          </w:p>
        </w:tc>
      </w:tr>
      <w:tr w14:paraId="5AA981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5DC2C00A">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C2146E1">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CD2FE4E">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600770E">
            <w:pPr>
              <w:adjustRightInd w:val="0"/>
              <w:snapToGrid w:val="0"/>
              <w:jc w:val="left"/>
              <w:rPr>
                <w:rFonts w:hint="eastAsia" w:asciiTheme="minorEastAsia" w:hAnsiTheme="minorEastAsia" w:eastAsiaTheme="minorEastAsia" w:cstheme="minorEastAsia"/>
                <w:sz w:val="24"/>
                <w:szCs w:val="24"/>
              </w:rPr>
            </w:pPr>
          </w:p>
        </w:tc>
      </w:tr>
      <w:tr w14:paraId="076F0EB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02AA6FD8">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8C0D4ED">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A4B737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3411513">
            <w:pPr>
              <w:adjustRightInd w:val="0"/>
              <w:snapToGrid w:val="0"/>
              <w:jc w:val="left"/>
              <w:rPr>
                <w:rFonts w:hint="eastAsia" w:asciiTheme="minorEastAsia" w:hAnsiTheme="minorEastAsia" w:eastAsiaTheme="minorEastAsia" w:cstheme="minorEastAsia"/>
                <w:sz w:val="24"/>
                <w:szCs w:val="24"/>
              </w:rPr>
            </w:pPr>
          </w:p>
        </w:tc>
      </w:tr>
      <w:tr w14:paraId="2655DD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3E6B6813">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7F451A67">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6673F8F">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2DA3EEB2">
            <w:pPr>
              <w:adjustRightInd w:val="0"/>
              <w:snapToGrid w:val="0"/>
              <w:jc w:val="left"/>
              <w:rPr>
                <w:rFonts w:hint="eastAsia" w:asciiTheme="minorEastAsia" w:hAnsiTheme="minorEastAsia" w:eastAsiaTheme="minorEastAsia" w:cstheme="minorEastAsia"/>
                <w:sz w:val="24"/>
                <w:szCs w:val="24"/>
              </w:rPr>
            </w:pPr>
          </w:p>
        </w:tc>
      </w:tr>
      <w:tr w14:paraId="00B1BA6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681C65C1">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2473789B">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4EE32141">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0942C58">
            <w:pPr>
              <w:adjustRightInd w:val="0"/>
              <w:snapToGrid w:val="0"/>
              <w:jc w:val="left"/>
              <w:rPr>
                <w:rFonts w:hint="eastAsia" w:asciiTheme="minorEastAsia" w:hAnsiTheme="minorEastAsia" w:eastAsiaTheme="minorEastAsia" w:cstheme="minorEastAsia"/>
                <w:sz w:val="24"/>
                <w:szCs w:val="24"/>
              </w:rPr>
            </w:pPr>
          </w:p>
        </w:tc>
      </w:tr>
      <w:tr w14:paraId="686494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72C4E2C4">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59663FE">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48D7F40">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8B9B7B5">
            <w:pPr>
              <w:adjustRightInd w:val="0"/>
              <w:snapToGrid w:val="0"/>
              <w:jc w:val="left"/>
              <w:rPr>
                <w:rFonts w:hint="eastAsia" w:asciiTheme="minorEastAsia" w:hAnsiTheme="minorEastAsia" w:eastAsiaTheme="minorEastAsia" w:cstheme="minorEastAsia"/>
                <w:sz w:val="24"/>
                <w:szCs w:val="24"/>
              </w:rPr>
            </w:pPr>
          </w:p>
        </w:tc>
      </w:tr>
      <w:tr w14:paraId="52584A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58BF3355">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68D4118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5E850EB8">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ED408A2">
            <w:pPr>
              <w:adjustRightInd w:val="0"/>
              <w:snapToGrid w:val="0"/>
              <w:jc w:val="left"/>
              <w:rPr>
                <w:rFonts w:hint="eastAsia" w:asciiTheme="minorEastAsia" w:hAnsiTheme="minorEastAsia" w:eastAsiaTheme="minorEastAsia" w:cstheme="minorEastAsia"/>
                <w:sz w:val="24"/>
                <w:szCs w:val="24"/>
              </w:rPr>
            </w:pPr>
          </w:p>
        </w:tc>
      </w:tr>
      <w:tr w14:paraId="165AAD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4EE5FADC">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920E007">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7D3A851D">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0D2DE7B">
            <w:pPr>
              <w:adjustRightInd w:val="0"/>
              <w:snapToGrid w:val="0"/>
              <w:jc w:val="left"/>
              <w:rPr>
                <w:rFonts w:hint="eastAsia" w:asciiTheme="minorEastAsia" w:hAnsiTheme="minorEastAsia" w:eastAsiaTheme="minorEastAsia" w:cstheme="minorEastAsia"/>
                <w:sz w:val="24"/>
                <w:szCs w:val="24"/>
              </w:rPr>
            </w:pPr>
          </w:p>
        </w:tc>
      </w:tr>
      <w:tr w14:paraId="1AED80E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45DD1DE2">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085FD449">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38E682FA">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7845B273">
            <w:pPr>
              <w:adjustRightInd w:val="0"/>
              <w:snapToGrid w:val="0"/>
              <w:jc w:val="left"/>
              <w:rPr>
                <w:rFonts w:hint="eastAsia" w:asciiTheme="minorEastAsia" w:hAnsiTheme="minorEastAsia" w:eastAsiaTheme="minorEastAsia" w:cstheme="minorEastAsia"/>
                <w:sz w:val="24"/>
                <w:szCs w:val="24"/>
              </w:rPr>
            </w:pPr>
          </w:p>
        </w:tc>
      </w:tr>
      <w:tr w14:paraId="6172E36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3F3D803B">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F293D8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55DB939">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547010F0">
            <w:pPr>
              <w:adjustRightInd w:val="0"/>
              <w:snapToGrid w:val="0"/>
              <w:jc w:val="left"/>
              <w:rPr>
                <w:rFonts w:hint="eastAsia" w:asciiTheme="minorEastAsia" w:hAnsiTheme="minorEastAsia" w:eastAsiaTheme="minorEastAsia" w:cstheme="minorEastAsia"/>
                <w:sz w:val="24"/>
                <w:szCs w:val="24"/>
              </w:rPr>
            </w:pPr>
          </w:p>
        </w:tc>
      </w:tr>
      <w:tr w14:paraId="51F4F8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17BF64D8">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1568B8C2">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5EE4517">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AB9D9D0">
            <w:pPr>
              <w:adjustRightInd w:val="0"/>
              <w:snapToGrid w:val="0"/>
              <w:jc w:val="left"/>
              <w:rPr>
                <w:rFonts w:hint="eastAsia" w:asciiTheme="minorEastAsia" w:hAnsiTheme="minorEastAsia" w:eastAsiaTheme="minorEastAsia" w:cstheme="minorEastAsia"/>
                <w:sz w:val="24"/>
                <w:szCs w:val="24"/>
              </w:rPr>
            </w:pPr>
          </w:p>
        </w:tc>
      </w:tr>
      <w:tr w14:paraId="469C8C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28A7501F">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74C239F4">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13354693">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48A51D6E">
            <w:pPr>
              <w:adjustRightInd w:val="0"/>
              <w:snapToGrid w:val="0"/>
              <w:jc w:val="left"/>
              <w:rPr>
                <w:rFonts w:hint="eastAsia" w:asciiTheme="minorEastAsia" w:hAnsiTheme="minorEastAsia" w:eastAsiaTheme="minorEastAsia" w:cstheme="minorEastAsia"/>
                <w:sz w:val="24"/>
                <w:szCs w:val="24"/>
              </w:rPr>
            </w:pPr>
          </w:p>
        </w:tc>
      </w:tr>
      <w:tr w14:paraId="63A91A1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286469B4">
            <w:pPr>
              <w:adjustRightInd w:val="0"/>
              <w:snapToGrid w:val="0"/>
              <w:jc w:val="left"/>
              <w:rPr>
                <w:rFonts w:hint="eastAsia" w:asciiTheme="minorEastAsia" w:hAnsiTheme="minorEastAsia" w:eastAsiaTheme="minorEastAsia" w:cstheme="minorEastAsia"/>
                <w:sz w:val="24"/>
                <w:szCs w:val="24"/>
              </w:rPr>
            </w:pPr>
          </w:p>
        </w:tc>
        <w:tc>
          <w:tcPr>
            <w:tcW w:w="4656" w:type="dxa"/>
            <w:tcBorders>
              <w:tl2br w:val="nil"/>
              <w:tr2bl w:val="nil"/>
            </w:tcBorders>
          </w:tcPr>
          <w:p w14:paraId="4C9FEF30">
            <w:pPr>
              <w:adjustRightInd w:val="0"/>
              <w:snapToGrid w:val="0"/>
              <w:jc w:val="left"/>
              <w:rPr>
                <w:rFonts w:hint="eastAsia" w:asciiTheme="minorEastAsia" w:hAnsiTheme="minorEastAsia" w:eastAsiaTheme="minorEastAsia" w:cstheme="minorEastAsia"/>
                <w:sz w:val="24"/>
                <w:szCs w:val="24"/>
              </w:rPr>
            </w:pPr>
          </w:p>
        </w:tc>
        <w:tc>
          <w:tcPr>
            <w:tcW w:w="1980" w:type="dxa"/>
            <w:tcBorders>
              <w:tl2br w:val="nil"/>
              <w:tr2bl w:val="nil"/>
            </w:tcBorders>
          </w:tcPr>
          <w:p w14:paraId="63E749FE">
            <w:pPr>
              <w:adjustRightInd w:val="0"/>
              <w:snapToGrid w:val="0"/>
              <w:jc w:val="left"/>
              <w:rPr>
                <w:rFonts w:hint="eastAsia" w:asciiTheme="minorEastAsia" w:hAnsiTheme="minorEastAsia" w:eastAsiaTheme="minorEastAsia" w:cstheme="minorEastAsia"/>
                <w:sz w:val="24"/>
                <w:szCs w:val="24"/>
              </w:rPr>
            </w:pPr>
          </w:p>
        </w:tc>
        <w:tc>
          <w:tcPr>
            <w:tcW w:w="1140" w:type="dxa"/>
            <w:tcBorders>
              <w:tl2br w:val="nil"/>
              <w:tr2bl w:val="nil"/>
            </w:tcBorders>
          </w:tcPr>
          <w:p w14:paraId="321B8D9A">
            <w:pPr>
              <w:adjustRightInd w:val="0"/>
              <w:snapToGrid w:val="0"/>
              <w:jc w:val="left"/>
              <w:rPr>
                <w:rFonts w:hint="eastAsia" w:asciiTheme="minorEastAsia" w:hAnsiTheme="minorEastAsia" w:eastAsiaTheme="minorEastAsia" w:cstheme="minorEastAsia"/>
                <w:sz w:val="24"/>
                <w:szCs w:val="24"/>
              </w:rPr>
            </w:pPr>
          </w:p>
        </w:tc>
      </w:tr>
    </w:tbl>
    <w:p w14:paraId="7C3D42AF">
      <w:pPr>
        <w:pStyle w:val="40"/>
        <w:spacing w:line="240" w:lineRule="auto"/>
        <w:ind w:firstLine="42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对于上表买方要求的技术参数，请供货商根据所投产品技术参数填写，按“响应”、“不响应”、“优于”进行逐项填写；投标人认为需要说明的，可以用文字表达。</w:t>
      </w:r>
    </w:p>
    <w:p w14:paraId="08396EA4">
      <w:pPr>
        <w:pStyle w:val="5"/>
        <w:jc w:val="center"/>
        <w:rPr>
          <w:rFonts w:hint="eastAsia" w:asciiTheme="minorEastAsia" w:hAnsiTheme="minorEastAsia" w:eastAsiaTheme="minorEastAsia" w:cstheme="minorEastAsia"/>
          <w:sz w:val="24"/>
          <w:szCs w:val="24"/>
        </w:rPr>
      </w:pPr>
    </w:p>
    <w:p w14:paraId="74694176">
      <w:pPr>
        <w:pStyle w:val="5"/>
        <w:jc w:val="center"/>
        <w:rPr>
          <w:rFonts w:ascii="黑体" w:hAnsi="黑体" w:eastAsia="黑体" w:cs="黑体"/>
          <w:sz w:val="28"/>
          <w:szCs w:val="28"/>
        </w:rPr>
      </w:pPr>
    </w:p>
    <w:p w14:paraId="451C3B17">
      <w:pPr>
        <w:spacing w:line="440" w:lineRule="exact"/>
        <w:ind w:left="1619" w:leftChars="771"/>
        <w:rPr>
          <w:rFonts w:ascii="黑体" w:hAnsi="黑体" w:eastAsia="黑体" w:cs="黑体"/>
          <w:sz w:val="28"/>
          <w:szCs w:val="28"/>
        </w:rPr>
      </w:pPr>
    </w:p>
    <w:p w14:paraId="52E9902B">
      <w:pPr>
        <w:pStyle w:val="5"/>
        <w:jc w:val="center"/>
        <w:rPr>
          <w:rFonts w:ascii="黑体" w:hAnsi="黑体" w:eastAsia="黑体" w:cs="黑体"/>
          <w:sz w:val="28"/>
          <w:szCs w:val="28"/>
        </w:rPr>
      </w:pPr>
    </w:p>
    <w:p w14:paraId="42A6254D">
      <w:pPr>
        <w:pStyle w:val="5"/>
        <w:jc w:val="both"/>
        <w:rPr>
          <w:rFonts w:ascii="黑体" w:hAnsi="黑体" w:eastAsia="黑体" w:cs="黑体"/>
          <w:sz w:val="28"/>
          <w:szCs w:val="28"/>
        </w:rPr>
      </w:pPr>
    </w:p>
    <w:p w14:paraId="022B92F2">
      <w:pPr>
        <w:pStyle w:val="5"/>
        <w:numPr>
          <w:ilvl w:val="0"/>
          <w:numId w:val="0"/>
        </w:numPr>
        <w:jc w:val="both"/>
        <w:rPr>
          <w:rFonts w:hint="eastAsia" w:asciiTheme="minorEastAsia" w:hAnsiTheme="minorEastAsia" w:eastAsiaTheme="minorEastAsia" w:cstheme="minorEastAsia"/>
          <w:b/>
          <w:bCs/>
          <w:sz w:val="28"/>
          <w:szCs w:val="28"/>
        </w:rPr>
      </w:pPr>
    </w:p>
    <w:p w14:paraId="6E2DA64E">
      <w:pPr>
        <w:pStyle w:val="5"/>
        <w:numPr>
          <w:ilvl w:val="0"/>
          <w:numId w:val="7"/>
        </w:numPr>
        <w:jc w:val="cente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供货方案</w:t>
      </w:r>
    </w:p>
    <w:p w14:paraId="1C8DF4B9">
      <w:pPr>
        <w:keepNext w:val="0"/>
        <w:keepLines w:val="0"/>
        <w:pageBreakBefore w:val="0"/>
        <w:widowControl w:val="0"/>
        <w:kinsoku/>
        <w:wordWrap/>
        <w:overflowPunct/>
        <w:topLinePunct w:val="0"/>
        <w:autoSpaceDE/>
        <w:autoSpaceDN/>
        <w:bidi w:val="0"/>
        <w:spacing w:line="400" w:lineRule="exact"/>
        <w:jc w:val="center"/>
        <w:textAlignment w:val="auto"/>
        <w:outlineLvl w:val="1"/>
        <w:rPr>
          <w:rFonts w:ascii="宋体" w:hAnsi="宋体" w:eastAsia="宋体" w:cs="宋体"/>
          <w:sz w:val="24"/>
          <w:szCs w:val="24"/>
        </w:rPr>
      </w:pPr>
      <w:r>
        <w:rPr>
          <w:rFonts w:hint="eastAsia" w:ascii="宋体" w:hAnsi="宋体" w:eastAsia="宋体" w:cs="宋体"/>
          <w:sz w:val="24"/>
          <w:szCs w:val="24"/>
          <w:lang w:eastAsia="zh-CN"/>
        </w:rPr>
        <w:t>设计方案</w:t>
      </w:r>
      <w:r>
        <w:rPr>
          <w:rFonts w:hint="eastAsia" w:ascii="宋体" w:hAnsi="宋体" w:eastAsia="宋体" w:cs="宋体"/>
          <w:sz w:val="24"/>
          <w:szCs w:val="24"/>
        </w:rPr>
        <w:t>及</w:t>
      </w:r>
      <w:r>
        <w:rPr>
          <w:rFonts w:hint="eastAsia" w:ascii="宋体" w:hAnsi="宋体" w:eastAsia="宋体" w:cs="宋体"/>
          <w:sz w:val="24"/>
          <w:szCs w:val="24"/>
          <w:lang w:eastAsia="zh-CN"/>
        </w:rPr>
        <w:t>售后</w:t>
      </w:r>
      <w:r>
        <w:rPr>
          <w:rFonts w:hint="eastAsia" w:ascii="宋体" w:hAnsi="宋体" w:eastAsia="宋体" w:cs="宋体"/>
          <w:sz w:val="24"/>
          <w:szCs w:val="24"/>
        </w:rPr>
        <w:t>服务</w:t>
      </w:r>
    </w:p>
    <w:p w14:paraId="1159CCDE">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eastAsia="宋体" w:cs="宋体"/>
          <w:sz w:val="24"/>
          <w:szCs w:val="24"/>
        </w:rPr>
      </w:pPr>
      <w:r>
        <w:rPr>
          <w:rFonts w:hint="eastAsia" w:ascii="宋体" w:hAnsi="宋体" w:eastAsia="宋体" w:cs="宋体"/>
          <w:sz w:val="24"/>
          <w:szCs w:val="24"/>
        </w:rPr>
        <w:t>（由供应商对此次</w:t>
      </w:r>
      <w:r>
        <w:rPr>
          <w:rFonts w:hint="eastAsia" w:ascii="宋体" w:hAnsi="宋体" w:eastAsia="宋体" w:cs="宋体"/>
          <w:sz w:val="24"/>
          <w:szCs w:val="24"/>
          <w:lang w:eastAsia="zh-CN"/>
        </w:rPr>
        <w:t>家具</w:t>
      </w:r>
      <w:r>
        <w:rPr>
          <w:rFonts w:hint="eastAsia" w:ascii="宋体" w:hAnsi="宋体" w:eastAsia="宋体" w:cs="宋体"/>
          <w:sz w:val="24"/>
          <w:szCs w:val="24"/>
        </w:rPr>
        <w:t>采购</w:t>
      </w:r>
      <w:r>
        <w:rPr>
          <w:rFonts w:hint="eastAsia" w:ascii="宋体" w:hAnsi="宋体" w:eastAsia="宋体" w:cs="宋体"/>
          <w:sz w:val="24"/>
          <w:szCs w:val="24"/>
          <w:lang w:eastAsia="zh-CN"/>
        </w:rPr>
        <w:t>，设计方案</w:t>
      </w:r>
      <w:r>
        <w:rPr>
          <w:rFonts w:hint="eastAsia" w:ascii="宋体" w:hAnsi="宋体" w:eastAsia="宋体" w:cs="宋体"/>
          <w:sz w:val="24"/>
          <w:szCs w:val="24"/>
        </w:rPr>
        <w:t>及售后服务等方面作出承诺，并</w:t>
      </w:r>
      <w:r>
        <w:rPr>
          <w:rFonts w:hint="eastAsia" w:ascii="宋体" w:hAnsi="宋体" w:eastAsia="宋体" w:cs="宋体"/>
          <w:sz w:val="24"/>
          <w:szCs w:val="24"/>
          <w:lang w:eastAsia="zh-CN"/>
        </w:rPr>
        <w:t>完整、</w:t>
      </w:r>
      <w:r>
        <w:rPr>
          <w:rFonts w:hint="eastAsia" w:ascii="宋体" w:hAnsi="宋体" w:eastAsia="宋体" w:cs="宋体"/>
          <w:sz w:val="24"/>
          <w:szCs w:val="24"/>
        </w:rPr>
        <w:t>详细</w:t>
      </w:r>
      <w:r>
        <w:rPr>
          <w:rFonts w:hint="eastAsia" w:ascii="宋体" w:hAnsi="宋体" w:eastAsia="宋体" w:cs="宋体"/>
          <w:sz w:val="24"/>
          <w:szCs w:val="24"/>
          <w:lang w:eastAsia="zh-CN"/>
        </w:rPr>
        <w:t>进行</w:t>
      </w:r>
      <w:r>
        <w:rPr>
          <w:rFonts w:hint="eastAsia" w:ascii="宋体" w:hAnsi="宋体" w:eastAsia="宋体" w:cs="宋体"/>
          <w:sz w:val="24"/>
          <w:szCs w:val="24"/>
        </w:rPr>
        <w:t>描述）</w:t>
      </w:r>
    </w:p>
    <w:p w14:paraId="629116C9">
      <w:pPr>
        <w:pStyle w:val="5"/>
        <w:jc w:val="center"/>
        <w:rPr>
          <w:rFonts w:ascii="黑体" w:hAnsi="黑体" w:eastAsia="黑体" w:cs="黑体"/>
          <w:sz w:val="28"/>
          <w:szCs w:val="28"/>
        </w:rPr>
      </w:pPr>
    </w:p>
    <w:p w14:paraId="446EFD07">
      <w:pPr>
        <w:pStyle w:val="5"/>
        <w:jc w:val="center"/>
        <w:rPr>
          <w:rFonts w:ascii="黑体" w:hAnsi="黑体" w:eastAsia="黑体" w:cs="黑体"/>
          <w:sz w:val="28"/>
          <w:szCs w:val="28"/>
        </w:rPr>
      </w:pPr>
    </w:p>
    <w:p w14:paraId="056F6984">
      <w:pPr>
        <w:pStyle w:val="5"/>
        <w:jc w:val="center"/>
        <w:rPr>
          <w:rFonts w:ascii="黑体" w:hAnsi="黑体" w:eastAsia="黑体" w:cs="黑体"/>
          <w:sz w:val="28"/>
          <w:szCs w:val="28"/>
        </w:rPr>
      </w:pPr>
    </w:p>
    <w:p w14:paraId="104CBA1A">
      <w:pPr>
        <w:pStyle w:val="5"/>
        <w:jc w:val="center"/>
        <w:rPr>
          <w:rFonts w:ascii="黑体" w:hAnsi="黑体" w:eastAsia="黑体" w:cs="黑体"/>
          <w:sz w:val="28"/>
          <w:szCs w:val="28"/>
        </w:rPr>
      </w:pPr>
    </w:p>
    <w:p w14:paraId="77A76D55">
      <w:pPr>
        <w:pStyle w:val="5"/>
        <w:jc w:val="center"/>
        <w:rPr>
          <w:rFonts w:ascii="黑体" w:hAnsi="黑体" w:eastAsia="黑体" w:cs="黑体"/>
          <w:sz w:val="28"/>
          <w:szCs w:val="28"/>
        </w:rPr>
      </w:pPr>
    </w:p>
    <w:p w14:paraId="085D0C46">
      <w:pPr>
        <w:pStyle w:val="5"/>
        <w:jc w:val="center"/>
        <w:rPr>
          <w:rFonts w:ascii="黑体" w:hAnsi="黑体" w:eastAsia="黑体" w:cs="黑体"/>
          <w:sz w:val="28"/>
          <w:szCs w:val="28"/>
        </w:rPr>
      </w:pPr>
    </w:p>
    <w:p w14:paraId="2BB1D4F8">
      <w:pPr>
        <w:pStyle w:val="5"/>
        <w:jc w:val="center"/>
        <w:rPr>
          <w:rFonts w:ascii="黑体" w:hAnsi="黑体" w:eastAsia="黑体" w:cs="黑体"/>
          <w:sz w:val="28"/>
          <w:szCs w:val="28"/>
        </w:rPr>
      </w:pPr>
    </w:p>
    <w:p w14:paraId="7465A7EE">
      <w:pPr>
        <w:pStyle w:val="5"/>
        <w:jc w:val="center"/>
        <w:rPr>
          <w:rFonts w:ascii="黑体" w:hAnsi="黑体" w:eastAsia="黑体" w:cs="黑体"/>
          <w:sz w:val="28"/>
          <w:szCs w:val="28"/>
        </w:rPr>
      </w:pPr>
    </w:p>
    <w:p w14:paraId="69B922B4">
      <w:pPr>
        <w:pStyle w:val="5"/>
        <w:jc w:val="center"/>
        <w:rPr>
          <w:rFonts w:ascii="黑体" w:hAnsi="黑体" w:eastAsia="黑体" w:cs="黑体"/>
          <w:sz w:val="28"/>
          <w:szCs w:val="28"/>
        </w:rPr>
      </w:pPr>
    </w:p>
    <w:p w14:paraId="3B4CE377">
      <w:pPr>
        <w:pStyle w:val="5"/>
        <w:jc w:val="center"/>
        <w:rPr>
          <w:rFonts w:ascii="黑体" w:hAnsi="黑体" w:eastAsia="黑体" w:cs="黑体"/>
          <w:sz w:val="28"/>
          <w:szCs w:val="28"/>
        </w:rPr>
      </w:pPr>
    </w:p>
    <w:p w14:paraId="1DCF5913">
      <w:pPr>
        <w:pStyle w:val="5"/>
        <w:jc w:val="center"/>
        <w:rPr>
          <w:rFonts w:ascii="黑体" w:hAnsi="黑体" w:eastAsia="黑体" w:cs="黑体"/>
          <w:sz w:val="28"/>
          <w:szCs w:val="28"/>
        </w:rPr>
      </w:pPr>
    </w:p>
    <w:p w14:paraId="67173DB2">
      <w:pPr>
        <w:pStyle w:val="5"/>
        <w:jc w:val="center"/>
        <w:rPr>
          <w:rFonts w:ascii="黑体" w:hAnsi="黑体" w:eastAsia="黑体" w:cs="黑体"/>
          <w:sz w:val="28"/>
          <w:szCs w:val="28"/>
        </w:rPr>
      </w:pPr>
    </w:p>
    <w:p w14:paraId="0C09D16E">
      <w:pPr>
        <w:pStyle w:val="5"/>
        <w:jc w:val="center"/>
        <w:rPr>
          <w:rFonts w:ascii="黑体" w:hAnsi="黑体" w:eastAsia="黑体" w:cs="黑体"/>
          <w:sz w:val="28"/>
          <w:szCs w:val="28"/>
        </w:rPr>
      </w:pPr>
    </w:p>
    <w:p w14:paraId="5947CFD7">
      <w:pPr>
        <w:pStyle w:val="5"/>
        <w:jc w:val="center"/>
        <w:rPr>
          <w:rFonts w:ascii="黑体" w:hAnsi="黑体" w:eastAsia="黑体" w:cs="黑体"/>
          <w:sz w:val="28"/>
          <w:szCs w:val="28"/>
        </w:rPr>
      </w:pPr>
    </w:p>
    <w:p w14:paraId="1B55B743">
      <w:pPr>
        <w:pStyle w:val="5"/>
        <w:jc w:val="center"/>
        <w:rPr>
          <w:rFonts w:ascii="黑体" w:hAnsi="黑体" w:eastAsia="黑体" w:cs="黑体"/>
          <w:sz w:val="28"/>
          <w:szCs w:val="28"/>
        </w:rPr>
      </w:pPr>
    </w:p>
    <w:p w14:paraId="10D28E63">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95C00D-CC4B-43EC-9EF3-FEF9309C03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FBA0CB7-4B9B-4B2F-93AD-3FB227D1172B}"/>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3" w:fontKey="{303CA594-FBEF-4D7A-9133-B818564E08E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7A18D">
    <w:pPr>
      <w:pStyle w:val="9"/>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6443819">
                          <w:pPr>
                            <w:pStyle w:val="9"/>
                            <w:ind w:firstLine="360"/>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16443819">
                    <w:pPr>
                      <w:pStyle w:val="9"/>
                      <w:ind w:firstLine="360"/>
                    </w:pPr>
                    <w:r>
                      <w:fldChar w:fldCharType="begin"/>
                    </w:r>
                    <w:r>
                      <w:instrText xml:space="preserve"> PAGE  \* MERGEFORMAT </w:instrText>
                    </w:r>
                    <w:r>
                      <w:fldChar w:fldCharType="separate"/>
                    </w:r>
                    <w:r>
                      <w:t>40</w:t>
                    </w:r>
                    <w:r>
                      <w:fldChar w:fldCharType="end"/>
                    </w:r>
                  </w:p>
                </w:txbxContent>
              </v:textbox>
            </v:shape>
          </w:pict>
        </mc:Fallback>
      </mc:AlternateContent>
    </w:r>
  </w:p>
  <w:p w14:paraId="3D933F41">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77B2E">
    <w:pPr>
      <w:pStyle w:val="9"/>
      <w:ind w:firstLine="360"/>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B637D03">
                          <w:pPr>
                            <w:pStyle w:val="9"/>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B637D03">
                    <w:pPr>
                      <w:pStyle w:val="9"/>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5DD5814A">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DA657C94"/>
    <w:multiLevelType w:val="singleLevel"/>
    <w:tmpl w:val="DA657C94"/>
    <w:lvl w:ilvl="0" w:tentative="0">
      <w:start w:val="6"/>
      <w:numFmt w:val="chineseCounting"/>
      <w:suff w:val="nothing"/>
      <w:lvlText w:val="%1、"/>
      <w:lvlJc w:val="left"/>
      <w:rPr>
        <w:rFonts w:hint="eastAsia"/>
      </w:rPr>
    </w:lvl>
  </w:abstractNum>
  <w:abstractNum w:abstractNumId="3">
    <w:nsid w:val="DF9C4183"/>
    <w:multiLevelType w:val="singleLevel"/>
    <w:tmpl w:val="DF9C4183"/>
    <w:lvl w:ilvl="0" w:tentative="0">
      <w:start w:val="1"/>
      <w:numFmt w:val="chineseCounting"/>
      <w:suff w:val="nothing"/>
      <w:lvlText w:val="%1、"/>
      <w:lvlJc w:val="left"/>
      <w:rPr>
        <w:rFonts w:hint="eastAsia"/>
      </w:rPr>
    </w:lvl>
  </w:abstractNum>
  <w:abstractNum w:abstractNumId="4">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5">
    <w:nsid w:val="4FDC7F5A"/>
    <w:multiLevelType w:val="singleLevel"/>
    <w:tmpl w:val="4FDC7F5A"/>
    <w:lvl w:ilvl="0" w:tentative="0">
      <w:start w:val="1"/>
      <w:numFmt w:val="chineseCounting"/>
      <w:suff w:val="nothing"/>
      <w:lvlText w:val="%1、"/>
      <w:lvlJc w:val="left"/>
      <w:rPr>
        <w:rFonts w:hint="eastAsia"/>
      </w:rPr>
    </w:lvl>
  </w:abstractNum>
  <w:abstractNum w:abstractNumId="6">
    <w:nsid w:val="59988EA0"/>
    <w:multiLevelType w:val="singleLevel"/>
    <w:tmpl w:val="59988EA0"/>
    <w:lvl w:ilvl="0" w:tentative="0">
      <w:start w:val="2"/>
      <w:numFmt w:val="decimal"/>
      <w:suff w:val="nothing"/>
      <w:lvlText w:val="%1、"/>
      <w:lvlJc w:val="left"/>
    </w:lvl>
  </w:abstractNum>
  <w:num w:numId="1">
    <w:abstractNumId w:val="0"/>
  </w:num>
  <w:num w:numId="2">
    <w:abstractNumId w:val="4"/>
  </w:num>
  <w:num w:numId="3">
    <w:abstractNumId w:val="6"/>
  </w:num>
  <w:num w:numId="4">
    <w:abstractNumId w:val="3"/>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ZmJiMmVmYzJhYjZmOTE3MGFkZTIwZDI2YzdiNjk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F3AE4"/>
    <w:rsid w:val="019662B6"/>
    <w:rsid w:val="01992D6C"/>
    <w:rsid w:val="019E3125"/>
    <w:rsid w:val="01A05D40"/>
    <w:rsid w:val="01C47A83"/>
    <w:rsid w:val="01D26FB5"/>
    <w:rsid w:val="01D8197B"/>
    <w:rsid w:val="01DB4425"/>
    <w:rsid w:val="01F30A06"/>
    <w:rsid w:val="01F423F9"/>
    <w:rsid w:val="020E2058"/>
    <w:rsid w:val="02355837"/>
    <w:rsid w:val="024946D1"/>
    <w:rsid w:val="0250686A"/>
    <w:rsid w:val="02595534"/>
    <w:rsid w:val="02763446"/>
    <w:rsid w:val="028275B1"/>
    <w:rsid w:val="02836B8D"/>
    <w:rsid w:val="028821FB"/>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B6B95"/>
    <w:rsid w:val="038226D6"/>
    <w:rsid w:val="03960557"/>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6666A"/>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C7068"/>
    <w:rsid w:val="05CB4EDA"/>
    <w:rsid w:val="05DC1624"/>
    <w:rsid w:val="05E11832"/>
    <w:rsid w:val="060F639F"/>
    <w:rsid w:val="0616234B"/>
    <w:rsid w:val="061C6516"/>
    <w:rsid w:val="06206644"/>
    <w:rsid w:val="06233674"/>
    <w:rsid w:val="06291F85"/>
    <w:rsid w:val="06356AB4"/>
    <w:rsid w:val="06361B7E"/>
    <w:rsid w:val="0637658C"/>
    <w:rsid w:val="0639341C"/>
    <w:rsid w:val="06420BE5"/>
    <w:rsid w:val="064F44F5"/>
    <w:rsid w:val="066072C2"/>
    <w:rsid w:val="06750697"/>
    <w:rsid w:val="069B3C00"/>
    <w:rsid w:val="06B9205E"/>
    <w:rsid w:val="06CA1760"/>
    <w:rsid w:val="06ED25DE"/>
    <w:rsid w:val="06F57E5E"/>
    <w:rsid w:val="06FD0BBC"/>
    <w:rsid w:val="07085527"/>
    <w:rsid w:val="073A3426"/>
    <w:rsid w:val="0744651C"/>
    <w:rsid w:val="0757367C"/>
    <w:rsid w:val="07595CAC"/>
    <w:rsid w:val="076F25A8"/>
    <w:rsid w:val="07726F78"/>
    <w:rsid w:val="077508BA"/>
    <w:rsid w:val="077772CA"/>
    <w:rsid w:val="078801AD"/>
    <w:rsid w:val="079543F1"/>
    <w:rsid w:val="07A10C59"/>
    <w:rsid w:val="07A45C35"/>
    <w:rsid w:val="07C30E6D"/>
    <w:rsid w:val="07C61AEA"/>
    <w:rsid w:val="07D4737B"/>
    <w:rsid w:val="07D72EEC"/>
    <w:rsid w:val="07E23ADF"/>
    <w:rsid w:val="07F53477"/>
    <w:rsid w:val="08315767"/>
    <w:rsid w:val="08347001"/>
    <w:rsid w:val="08376EC4"/>
    <w:rsid w:val="083C2C8C"/>
    <w:rsid w:val="083C51DC"/>
    <w:rsid w:val="083F45B1"/>
    <w:rsid w:val="08441E55"/>
    <w:rsid w:val="086D4ACA"/>
    <w:rsid w:val="087E3A40"/>
    <w:rsid w:val="08A5652C"/>
    <w:rsid w:val="08AC6280"/>
    <w:rsid w:val="08CE6D5A"/>
    <w:rsid w:val="08D840D9"/>
    <w:rsid w:val="08E73475"/>
    <w:rsid w:val="08F04266"/>
    <w:rsid w:val="08F33D56"/>
    <w:rsid w:val="090B1608"/>
    <w:rsid w:val="09120680"/>
    <w:rsid w:val="09193D26"/>
    <w:rsid w:val="091B6FC9"/>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3641B0"/>
    <w:rsid w:val="0A3769B7"/>
    <w:rsid w:val="0A4977DA"/>
    <w:rsid w:val="0A5D06A7"/>
    <w:rsid w:val="0A605CF3"/>
    <w:rsid w:val="0A6319DD"/>
    <w:rsid w:val="0A6564B9"/>
    <w:rsid w:val="0A6B7FB8"/>
    <w:rsid w:val="0A7D7D7B"/>
    <w:rsid w:val="0A944A5A"/>
    <w:rsid w:val="0AA52BD3"/>
    <w:rsid w:val="0AAC4813"/>
    <w:rsid w:val="0AB417AF"/>
    <w:rsid w:val="0ACB14D5"/>
    <w:rsid w:val="0AFC27B3"/>
    <w:rsid w:val="0B0109E6"/>
    <w:rsid w:val="0B0364E1"/>
    <w:rsid w:val="0B143FBB"/>
    <w:rsid w:val="0B183F48"/>
    <w:rsid w:val="0B5605CC"/>
    <w:rsid w:val="0B575328"/>
    <w:rsid w:val="0B575C8E"/>
    <w:rsid w:val="0B5C5BE2"/>
    <w:rsid w:val="0B607438"/>
    <w:rsid w:val="0B6A3567"/>
    <w:rsid w:val="0B8C0B40"/>
    <w:rsid w:val="0B940000"/>
    <w:rsid w:val="0B9E7AAB"/>
    <w:rsid w:val="0BBD53FC"/>
    <w:rsid w:val="0BD95321"/>
    <w:rsid w:val="0BE53DBD"/>
    <w:rsid w:val="0BED7182"/>
    <w:rsid w:val="0BEE3A7F"/>
    <w:rsid w:val="0BF37124"/>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B87378"/>
    <w:rsid w:val="0CEE2538"/>
    <w:rsid w:val="0CFF356B"/>
    <w:rsid w:val="0D1C692C"/>
    <w:rsid w:val="0D1F7FB3"/>
    <w:rsid w:val="0D235F12"/>
    <w:rsid w:val="0D371527"/>
    <w:rsid w:val="0D421699"/>
    <w:rsid w:val="0D491784"/>
    <w:rsid w:val="0D691CDD"/>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DA7493"/>
    <w:rsid w:val="0EF511C8"/>
    <w:rsid w:val="0EF55437"/>
    <w:rsid w:val="0EF56A7A"/>
    <w:rsid w:val="0F084473"/>
    <w:rsid w:val="0F3638ED"/>
    <w:rsid w:val="0F3E7545"/>
    <w:rsid w:val="0F56600C"/>
    <w:rsid w:val="0F723405"/>
    <w:rsid w:val="0F751969"/>
    <w:rsid w:val="0FCC7A5D"/>
    <w:rsid w:val="0FDB62B2"/>
    <w:rsid w:val="0FE0087A"/>
    <w:rsid w:val="0FE034BE"/>
    <w:rsid w:val="100642FF"/>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A3C90"/>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2218F"/>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373E5A"/>
    <w:rsid w:val="134A310C"/>
    <w:rsid w:val="136A5CDB"/>
    <w:rsid w:val="137511FB"/>
    <w:rsid w:val="139157D5"/>
    <w:rsid w:val="13A613F8"/>
    <w:rsid w:val="13A61F8A"/>
    <w:rsid w:val="13EB2E20"/>
    <w:rsid w:val="13EE17CA"/>
    <w:rsid w:val="13F71AAC"/>
    <w:rsid w:val="13F727DE"/>
    <w:rsid w:val="140531B2"/>
    <w:rsid w:val="141603C9"/>
    <w:rsid w:val="143E047A"/>
    <w:rsid w:val="145C0174"/>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E93EB1"/>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507CB9"/>
    <w:rsid w:val="1977008B"/>
    <w:rsid w:val="19862431"/>
    <w:rsid w:val="19902CF2"/>
    <w:rsid w:val="199735D9"/>
    <w:rsid w:val="199C3B12"/>
    <w:rsid w:val="199F4D38"/>
    <w:rsid w:val="19B34DB1"/>
    <w:rsid w:val="19BC7AA3"/>
    <w:rsid w:val="19C22F6A"/>
    <w:rsid w:val="19C35EB6"/>
    <w:rsid w:val="19C5115C"/>
    <w:rsid w:val="19C9294C"/>
    <w:rsid w:val="19CC7A79"/>
    <w:rsid w:val="19CE0406"/>
    <w:rsid w:val="19D150E1"/>
    <w:rsid w:val="19DD457B"/>
    <w:rsid w:val="19FD2538"/>
    <w:rsid w:val="1A17222A"/>
    <w:rsid w:val="1A3348FA"/>
    <w:rsid w:val="1A3D4FC4"/>
    <w:rsid w:val="1A412867"/>
    <w:rsid w:val="1A443569"/>
    <w:rsid w:val="1A7F2B1F"/>
    <w:rsid w:val="1AC27301"/>
    <w:rsid w:val="1AC3476E"/>
    <w:rsid w:val="1AE05001"/>
    <w:rsid w:val="1AE16104"/>
    <w:rsid w:val="1AE9320B"/>
    <w:rsid w:val="1B0525A1"/>
    <w:rsid w:val="1B2136A5"/>
    <w:rsid w:val="1B3C333B"/>
    <w:rsid w:val="1B3D7B6B"/>
    <w:rsid w:val="1B427030"/>
    <w:rsid w:val="1B7270A9"/>
    <w:rsid w:val="1B742B49"/>
    <w:rsid w:val="1B7A2038"/>
    <w:rsid w:val="1B7D4D66"/>
    <w:rsid w:val="1B830B8C"/>
    <w:rsid w:val="1B866CA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A12CBF"/>
    <w:rsid w:val="1FC653B9"/>
    <w:rsid w:val="1FC830F6"/>
    <w:rsid w:val="1FE50EDC"/>
    <w:rsid w:val="1FFD5491"/>
    <w:rsid w:val="1FFF49B3"/>
    <w:rsid w:val="20085EE1"/>
    <w:rsid w:val="200A49DA"/>
    <w:rsid w:val="2010615E"/>
    <w:rsid w:val="201C204B"/>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1020B82"/>
    <w:rsid w:val="21063370"/>
    <w:rsid w:val="211B2CD8"/>
    <w:rsid w:val="21225095"/>
    <w:rsid w:val="21290251"/>
    <w:rsid w:val="212B27B8"/>
    <w:rsid w:val="21303DB9"/>
    <w:rsid w:val="217F414A"/>
    <w:rsid w:val="21957A4E"/>
    <w:rsid w:val="21B209FB"/>
    <w:rsid w:val="21C307B3"/>
    <w:rsid w:val="21CE3C80"/>
    <w:rsid w:val="21D11C50"/>
    <w:rsid w:val="21E27CC2"/>
    <w:rsid w:val="21E82062"/>
    <w:rsid w:val="21FC1CC5"/>
    <w:rsid w:val="220F22ED"/>
    <w:rsid w:val="22266C58"/>
    <w:rsid w:val="22290B71"/>
    <w:rsid w:val="223920C8"/>
    <w:rsid w:val="2257773E"/>
    <w:rsid w:val="227535F4"/>
    <w:rsid w:val="22754149"/>
    <w:rsid w:val="228C37EE"/>
    <w:rsid w:val="228C6100"/>
    <w:rsid w:val="22A30ED5"/>
    <w:rsid w:val="22A75A54"/>
    <w:rsid w:val="22C75FB3"/>
    <w:rsid w:val="22D47DA3"/>
    <w:rsid w:val="22E43FB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67F5F"/>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DA4F02"/>
    <w:rsid w:val="25F72C80"/>
    <w:rsid w:val="261E2FED"/>
    <w:rsid w:val="262D3499"/>
    <w:rsid w:val="2631307A"/>
    <w:rsid w:val="26363BA8"/>
    <w:rsid w:val="264F0DC8"/>
    <w:rsid w:val="26505959"/>
    <w:rsid w:val="26757836"/>
    <w:rsid w:val="26793695"/>
    <w:rsid w:val="267942C6"/>
    <w:rsid w:val="268169ED"/>
    <w:rsid w:val="26936A6A"/>
    <w:rsid w:val="269B2C40"/>
    <w:rsid w:val="269C55D5"/>
    <w:rsid w:val="26AC54AE"/>
    <w:rsid w:val="26AE35E3"/>
    <w:rsid w:val="26BB0C51"/>
    <w:rsid w:val="26CA2142"/>
    <w:rsid w:val="26CC5821"/>
    <w:rsid w:val="26D9686E"/>
    <w:rsid w:val="26E16978"/>
    <w:rsid w:val="26EA132C"/>
    <w:rsid w:val="270A6B81"/>
    <w:rsid w:val="271E5FEA"/>
    <w:rsid w:val="27224050"/>
    <w:rsid w:val="27335F39"/>
    <w:rsid w:val="27573233"/>
    <w:rsid w:val="276F5392"/>
    <w:rsid w:val="276F78A4"/>
    <w:rsid w:val="277F5371"/>
    <w:rsid w:val="27897256"/>
    <w:rsid w:val="278E4F1E"/>
    <w:rsid w:val="279E6A72"/>
    <w:rsid w:val="27A22B9A"/>
    <w:rsid w:val="27BA7541"/>
    <w:rsid w:val="27E17707"/>
    <w:rsid w:val="27E21785"/>
    <w:rsid w:val="282B207E"/>
    <w:rsid w:val="2832016E"/>
    <w:rsid w:val="28332E82"/>
    <w:rsid w:val="28945AD5"/>
    <w:rsid w:val="28A17421"/>
    <w:rsid w:val="28C36E49"/>
    <w:rsid w:val="28CB2405"/>
    <w:rsid w:val="28CC65CA"/>
    <w:rsid w:val="28E31299"/>
    <w:rsid w:val="28E4564A"/>
    <w:rsid w:val="28FD4C25"/>
    <w:rsid w:val="29121767"/>
    <w:rsid w:val="2916341D"/>
    <w:rsid w:val="293529A7"/>
    <w:rsid w:val="29391889"/>
    <w:rsid w:val="29431FF9"/>
    <w:rsid w:val="294549B1"/>
    <w:rsid w:val="298E4667"/>
    <w:rsid w:val="299921F9"/>
    <w:rsid w:val="299E263B"/>
    <w:rsid w:val="29AC15DA"/>
    <w:rsid w:val="29C849C9"/>
    <w:rsid w:val="29E638F8"/>
    <w:rsid w:val="29FC40FB"/>
    <w:rsid w:val="2A1D6B49"/>
    <w:rsid w:val="2A433E72"/>
    <w:rsid w:val="2A4D466A"/>
    <w:rsid w:val="2A571212"/>
    <w:rsid w:val="2A5C554F"/>
    <w:rsid w:val="2A697EC4"/>
    <w:rsid w:val="2A6C2506"/>
    <w:rsid w:val="2A76695F"/>
    <w:rsid w:val="2A7F4FF2"/>
    <w:rsid w:val="2A8E3AA7"/>
    <w:rsid w:val="2A930A9D"/>
    <w:rsid w:val="2A9758C1"/>
    <w:rsid w:val="2AA2330A"/>
    <w:rsid w:val="2AA86D0F"/>
    <w:rsid w:val="2AB036B9"/>
    <w:rsid w:val="2AB50200"/>
    <w:rsid w:val="2AC0255C"/>
    <w:rsid w:val="2ACA3C75"/>
    <w:rsid w:val="2ACD4339"/>
    <w:rsid w:val="2AE71769"/>
    <w:rsid w:val="2B0A558D"/>
    <w:rsid w:val="2B104C4C"/>
    <w:rsid w:val="2B1C6134"/>
    <w:rsid w:val="2B274F49"/>
    <w:rsid w:val="2B2E4091"/>
    <w:rsid w:val="2B4705D1"/>
    <w:rsid w:val="2B547EAB"/>
    <w:rsid w:val="2B752198"/>
    <w:rsid w:val="2B9677D0"/>
    <w:rsid w:val="2BA50E72"/>
    <w:rsid w:val="2BB570B9"/>
    <w:rsid w:val="2BCA60F5"/>
    <w:rsid w:val="2BDF25BB"/>
    <w:rsid w:val="2BED184D"/>
    <w:rsid w:val="2BF97573"/>
    <w:rsid w:val="2C282379"/>
    <w:rsid w:val="2C436A23"/>
    <w:rsid w:val="2C574478"/>
    <w:rsid w:val="2C706680"/>
    <w:rsid w:val="2C74409C"/>
    <w:rsid w:val="2C78559C"/>
    <w:rsid w:val="2C845E56"/>
    <w:rsid w:val="2C9E62E8"/>
    <w:rsid w:val="2CB12F5F"/>
    <w:rsid w:val="2CC914F3"/>
    <w:rsid w:val="2CCB157B"/>
    <w:rsid w:val="2CCD7379"/>
    <w:rsid w:val="2CD91BE3"/>
    <w:rsid w:val="2CD93E72"/>
    <w:rsid w:val="2CE60EC6"/>
    <w:rsid w:val="2CF174D1"/>
    <w:rsid w:val="2CF47F19"/>
    <w:rsid w:val="2CF855B9"/>
    <w:rsid w:val="2D03015C"/>
    <w:rsid w:val="2D044DD1"/>
    <w:rsid w:val="2D1C78E5"/>
    <w:rsid w:val="2D4633AE"/>
    <w:rsid w:val="2D5E7110"/>
    <w:rsid w:val="2D67693D"/>
    <w:rsid w:val="2D6B78B2"/>
    <w:rsid w:val="2D702015"/>
    <w:rsid w:val="2D7D7F0E"/>
    <w:rsid w:val="2D825525"/>
    <w:rsid w:val="2D85124E"/>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61116A"/>
    <w:rsid w:val="2F697F69"/>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1F5C0B"/>
    <w:rsid w:val="31254E86"/>
    <w:rsid w:val="312F620E"/>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621092"/>
    <w:rsid w:val="32722A86"/>
    <w:rsid w:val="32755658"/>
    <w:rsid w:val="32A15D40"/>
    <w:rsid w:val="32BC0383"/>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6F3925"/>
    <w:rsid w:val="347A4B5A"/>
    <w:rsid w:val="347E631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72B7F"/>
    <w:rsid w:val="35C87EEC"/>
    <w:rsid w:val="35EA1EB9"/>
    <w:rsid w:val="362B46A7"/>
    <w:rsid w:val="363E3FB3"/>
    <w:rsid w:val="3647730B"/>
    <w:rsid w:val="364A6DFC"/>
    <w:rsid w:val="36533F02"/>
    <w:rsid w:val="3659632C"/>
    <w:rsid w:val="36625EF3"/>
    <w:rsid w:val="36655978"/>
    <w:rsid w:val="366614F3"/>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03E44"/>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04C35"/>
    <w:rsid w:val="3A185D33"/>
    <w:rsid w:val="3A2C2104"/>
    <w:rsid w:val="3A3B099E"/>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870377"/>
    <w:rsid w:val="3D9B1CEB"/>
    <w:rsid w:val="3DB644C5"/>
    <w:rsid w:val="3DBA3955"/>
    <w:rsid w:val="3DC64303"/>
    <w:rsid w:val="3DE25B6C"/>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9F580B"/>
    <w:rsid w:val="3EA024B3"/>
    <w:rsid w:val="3EA6533F"/>
    <w:rsid w:val="3ECD7713"/>
    <w:rsid w:val="3ECE2C18"/>
    <w:rsid w:val="3ED51025"/>
    <w:rsid w:val="3EDF33BB"/>
    <w:rsid w:val="3EF003A8"/>
    <w:rsid w:val="3EF3475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60006"/>
    <w:rsid w:val="411D3F96"/>
    <w:rsid w:val="412233A4"/>
    <w:rsid w:val="413C5593"/>
    <w:rsid w:val="413E1BC3"/>
    <w:rsid w:val="41477A67"/>
    <w:rsid w:val="414810A7"/>
    <w:rsid w:val="41581702"/>
    <w:rsid w:val="41614FF9"/>
    <w:rsid w:val="4173688E"/>
    <w:rsid w:val="417807D9"/>
    <w:rsid w:val="417967E7"/>
    <w:rsid w:val="418D27F5"/>
    <w:rsid w:val="41954C58"/>
    <w:rsid w:val="4196330C"/>
    <w:rsid w:val="419F4AD1"/>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02AD9"/>
    <w:rsid w:val="42F86EFF"/>
    <w:rsid w:val="43065E58"/>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D66E7"/>
    <w:rsid w:val="44833717"/>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5FB77CB"/>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06807"/>
    <w:rsid w:val="46BD2BBF"/>
    <w:rsid w:val="46CA2A30"/>
    <w:rsid w:val="46DF0E9A"/>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7F91A12"/>
    <w:rsid w:val="4801373A"/>
    <w:rsid w:val="4803315E"/>
    <w:rsid w:val="480A0199"/>
    <w:rsid w:val="481467FD"/>
    <w:rsid w:val="482F079F"/>
    <w:rsid w:val="483010A5"/>
    <w:rsid w:val="48334E31"/>
    <w:rsid w:val="4839790E"/>
    <w:rsid w:val="483C0786"/>
    <w:rsid w:val="484C07B1"/>
    <w:rsid w:val="48550397"/>
    <w:rsid w:val="485633DE"/>
    <w:rsid w:val="4865747A"/>
    <w:rsid w:val="487D54E8"/>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E6E63"/>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8299F"/>
    <w:rsid w:val="50CE2F73"/>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CF0C17"/>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3D004E8"/>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473A1"/>
    <w:rsid w:val="55997285"/>
    <w:rsid w:val="55A75279"/>
    <w:rsid w:val="55AE2AAB"/>
    <w:rsid w:val="55BD6D09"/>
    <w:rsid w:val="55BE6A05"/>
    <w:rsid w:val="55C477FF"/>
    <w:rsid w:val="55C83941"/>
    <w:rsid w:val="55DA29AC"/>
    <w:rsid w:val="55DB488F"/>
    <w:rsid w:val="55F304BE"/>
    <w:rsid w:val="55F92F01"/>
    <w:rsid w:val="561E6AF9"/>
    <w:rsid w:val="561F5757"/>
    <w:rsid w:val="56292132"/>
    <w:rsid w:val="562B638E"/>
    <w:rsid w:val="5638698C"/>
    <w:rsid w:val="56424DE3"/>
    <w:rsid w:val="566F406D"/>
    <w:rsid w:val="56701B0F"/>
    <w:rsid w:val="568850AA"/>
    <w:rsid w:val="56A604C8"/>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8F91095"/>
    <w:rsid w:val="59020C98"/>
    <w:rsid w:val="5959116E"/>
    <w:rsid w:val="59633BAD"/>
    <w:rsid w:val="59A71C9E"/>
    <w:rsid w:val="59A76356"/>
    <w:rsid w:val="59F04A80"/>
    <w:rsid w:val="59F519D4"/>
    <w:rsid w:val="59F85C2D"/>
    <w:rsid w:val="5A050A6E"/>
    <w:rsid w:val="5A113016"/>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195147"/>
    <w:rsid w:val="5C337866"/>
    <w:rsid w:val="5C762B57"/>
    <w:rsid w:val="5C7D3080"/>
    <w:rsid w:val="5C7D4F86"/>
    <w:rsid w:val="5C7E0D7E"/>
    <w:rsid w:val="5C864410"/>
    <w:rsid w:val="5CA409DB"/>
    <w:rsid w:val="5CB30722"/>
    <w:rsid w:val="5CC311B1"/>
    <w:rsid w:val="5CC6567E"/>
    <w:rsid w:val="5CD77A98"/>
    <w:rsid w:val="5CF408B8"/>
    <w:rsid w:val="5CF47502"/>
    <w:rsid w:val="5CF60A0C"/>
    <w:rsid w:val="5D2106CA"/>
    <w:rsid w:val="5D274F13"/>
    <w:rsid w:val="5D3E0BA9"/>
    <w:rsid w:val="5D53665D"/>
    <w:rsid w:val="5D690E03"/>
    <w:rsid w:val="5D6935B6"/>
    <w:rsid w:val="5D710825"/>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33E65"/>
    <w:rsid w:val="613D0256"/>
    <w:rsid w:val="614C7A15"/>
    <w:rsid w:val="618B4124"/>
    <w:rsid w:val="618D3BCD"/>
    <w:rsid w:val="61AA5A61"/>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703465"/>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8E6299"/>
    <w:rsid w:val="67AB0BF9"/>
    <w:rsid w:val="67C76B90"/>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CF0A03"/>
    <w:rsid w:val="69DB32EB"/>
    <w:rsid w:val="69F51C80"/>
    <w:rsid w:val="69F6289F"/>
    <w:rsid w:val="69FE15B7"/>
    <w:rsid w:val="6A09181B"/>
    <w:rsid w:val="6A201236"/>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5600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7F32C4"/>
    <w:rsid w:val="6C932B17"/>
    <w:rsid w:val="6C94629F"/>
    <w:rsid w:val="6CA51F03"/>
    <w:rsid w:val="6CBA3F2A"/>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1D4E16"/>
    <w:rsid w:val="704A33D4"/>
    <w:rsid w:val="704A4E26"/>
    <w:rsid w:val="705E3594"/>
    <w:rsid w:val="706D47F2"/>
    <w:rsid w:val="70904E30"/>
    <w:rsid w:val="70CC3C5C"/>
    <w:rsid w:val="70D13186"/>
    <w:rsid w:val="70DA79DB"/>
    <w:rsid w:val="70E66DDE"/>
    <w:rsid w:val="710708CC"/>
    <w:rsid w:val="710D33C2"/>
    <w:rsid w:val="710E6DC5"/>
    <w:rsid w:val="71201E7A"/>
    <w:rsid w:val="713906D7"/>
    <w:rsid w:val="713944E1"/>
    <w:rsid w:val="714D061D"/>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2D17CEA"/>
    <w:rsid w:val="730205CB"/>
    <w:rsid w:val="73047594"/>
    <w:rsid w:val="730C7017"/>
    <w:rsid w:val="732032AC"/>
    <w:rsid w:val="73253CEE"/>
    <w:rsid w:val="73282EAD"/>
    <w:rsid w:val="736B0D9C"/>
    <w:rsid w:val="73745A1D"/>
    <w:rsid w:val="73B65107"/>
    <w:rsid w:val="73D47405"/>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85A40"/>
    <w:rsid w:val="751B76E8"/>
    <w:rsid w:val="751C632F"/>
    <w:rsid w:val="75267B11"/>
    <w:rsid w:val="755D712B"/>
    <w:rsid w:val="75871A0B"/>
    <w:rsid w:val="75896036"/>
    <w:rsid w:val="758F1B5A"/>
    <w:rsid w:val="75991092"/>
    <w:rsid w:val="759B5E27"/>
    <w:rsid w:val="759D2329"/>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64864"/>
    <w:rsid w:val="774D70B5"/>
    <w:rsid w:val="77711DFB"/>
    <w:rsid w:val="77791211"/>
    <w:rsid w:val="778B06B0"/>
    <w:rsid w:val="77A870F8"/>
    <w:rsid w:val="77C853D2"/>
    <w:rsid w:val="77CB6284"/>
    <w:rsid w:val="77D54C59"/>
    <w:rsid w:val="77D9063B"/>
    <w:rsid w:val="78474B5C"/>
    <w:rsid w:val="78631CE4"/>
    <w:rsid w:val="786A240A"/>
    <w:rsid w:val="78A82F32"/>
    <w:rsid w:val="78B8116A"/>
    <w:rsid w:val="78B9393B"/>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71168E"/>
    <w:rsid w:val="7B9F046E"/>
    <w:rsid w:val="7BA571A1"/>
    <w:rsid w:val="7BA84BDE"/>
    <w:rsid w:val="7BDA4C3E"/>
    <w:rsid w:val="7BED0D99"/>
    <w:rsid w:val="7BF7759F"/>
    <w:rsid w:val="7C0A3E8D"/>
    <w:rsid w:val="7C0E5BCD"/>
    <w:rsid w:val="7C1B4A3B"/>
    <w:rsid w:val="7C211D7D"/>
    <w:rsid w:val="7C2E45FA"/>
    <w:rsid w:val="7C366D83"/>
    <w:rsid w:val="7C665AD8"/>
    <w:rsid w:val="7C6B6133"/>
    <w:rsid w:val="7C8617DD"/>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461C04"/>
    <w:rsid w:val="7F512BDD"/>
    <w:rsid w:val="7F5B6C76"/>
    <w:rsid w:val="7F985DEA"/>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6"/>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Balloon Text"/>
    <w:basedOn w:val="1"/>
    <w:link w:val="42"/>
    <w:autoRedefine/>
    <w:qFormat/>
    <w:uiPriority w:val="0"/>
    <w:rPr>
      <w:sz w:val="18"/>
      <w:szCs w:val="18"/>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12">
    <w:name w:val="Body Text 2"/>
    <w:qFormat/>
    <w:uiPriority w:val="0"/>
    <w:pPr>
      <w:widowControl w:val="0"/>
      <w:jc w:val="left"/>
    </w:pPr>
    <w:rPr>
      <w:rFonts w:ascii="仿宋_GB2312" w:hAnsi="宋体" w:eastAsia="仿宋_GB2312" w:cstheme="minorBidi"/>
      <w:kern w:val="2"/>
      <w:sz w:val="21"/>
      <w:szCs w:val="24"/>
      <w:lang w:val="en-US" w:eastAsia="zh-CN" w:bidi="ar-SA"/>
    </w:rPr>
  </w:style>
  <w:style w:type="paragraph" w:styleId="13">
    <w:name w:val="Normal (Web)"/>
    <w:basedOn w:val="1"/>
    <w:autoRedefine/>
    <w:qFormat/>
    <w:uiPriority w:val="99"/>
    <w:pPr>
      <w:spacing w:beforeAutospacing="1" w:afterAutospacing="1"/>
      <w:jc w:val="left"/>
    </w:pPr>
    <w:rPr>
      <w:rFonts w:cs="Times New Roman"/>
      <w:kern w:val="0"/>
      <w:sz w:val="24"/>
    </w:rPr>
  </w:style>
  <w:style w:type="paragraph" w:styleId="14">
    <w:name w:val="Title"/>
    <w:basedOn w:val="1"/>
    <w:next w:val="1"/>
    <w:autoRedefine/>
    <w:qFormat/>
    <w:uiPriority w:val="0"/>
    <w:pPr>
      <w:jc w:val="center"/>
    </w:pPr>
    <w:rPr>
      <w:sz w:val="30"/>
      <w:szCs w:val="30"/>
    </w:rPr>
  </w:style>
  <w:style w:type="paragraph" w:styleId="15">
    <w:name w:val="Body Text First Indent 2"/>
    <w:basedOn w:val="6"/>
    <w:next w:val="11"/>
    <w:autoRedefine/>
    <w:unhideWhenUsed/>
    <w:qFormat/>
    <w:uiPriority w:val="99"/>
    <w:pPr>
      <w:ind w:firstLine="420" w:firstLineChars="200"/>
    </w:pPr>
    <w:rPr>
      <w:szCs w:val="20"/>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autoRedefine/>
    <w:qFormat/>
    <w:uiPriority w:val="0"/>
    <w:rPr>
      <w:b/>
    </w:rPr>
  </w:style>
  <w:style w:type="character" w:styleId="20">
    <w:name w:val="page number"/>
    <w:basedOn w:val="18"/>
    <w:autoRedefine/>
    <w:qFormat/>
    <w:uiPriority w:val="0"/>
  </w:style>
  <w:style w:type="character" w:styleId="21">
    <w:name w:val="FollowedHyperlink"/>
    <w:basedOn w:val="18"/>
    <w:autoRedefine/>
    <w:qFormat/>
    <w:uiPriority w:val="0"/>
    <w:rPr>
      <w:rFonts w:hint="eastAsia" w:ascii="微软雅黑" w:hAnsi="微软雅黑" w:eastAsia="微软雅黑" w:cs="微软雅黑"/>
      <w:color w:val="323232"/>
      <w:sz w:val="21"/>
      <w:szCs w:val="21"/>
      <w:u w:val="none"/>
    </w:rPr>
  </w:style>
  <w:style w:type="character" w:styleId="22">
    <w:name w:val="Hyperlink"/>
    <w:basedOn w:val="18"/>
    <w:autoRedefine/>
    <w:qFormat/>
    <w:uiPriority w:val="0"/>
    <w:rPr>
      <w:color w:val="0000FF"/>
      <w:u w:val="single"/>
    </w:rPr>
  </w:style>
  <w:style w:type="paragraph" w:customStyle="1" w:styleId="23">
    <w:name w:val="WPSOffice手动目录 1"/>
    <w:autoRedefine/>
    <w:qFormat/>
    <w:uiPriority w:val="0"/>
    <w:rPr>
      <w:rFonts w:asciiTheme="minorHAnsi" w:hAnsiTheme="minorHAnsi" w:eastAsiaTheme="minorEastAsia" w:cstheme="minorBidi"/>
      <w:lang w:val="en-US" w:eastAsia="zh-CN" w:bidi="ar-SA"/>
    </w:rPr>
  </w:style>
  <w:style w:type="paragraph" w:customStyle="1" w:styleId="2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5">
    <w:name w:val="正文 题目"/>
    <w:basedOn w:val="1"/>
    <w:autoRedefine/>
    <w:qFormat/>
    <w:uiPriority w:val="0"/>
    <w:pPr>
      <w:jc w:val="center"/>
    </w:pPr>
    <w:rPr>
      <w:rFonts w:ascii="黑体" w:hAnsi="黑体" w:eastAsia="黑体"/>
      <w:sz w:val="28"/>
    </w:rPr>
  </w:style>
  <w:style w:type="character" w:customStyle="1" w:styleId="26">
    <w:name w:val="标题 2 Char"/>
    <w:link w:val="3"/>
    <w:autoRedefine/>
    <w:qFormat/>
    <w:uiPriority w:val="0"/>
    <w:rPr>
      <w:rFonts w:ascii="Arial" w:hAnsi="Arial"/>
      <w:b/>
      <w:bCs/>
      <w:sz w:val="28"/>
      <w:szCs w:val="32"/>
    </w:rPr>
  </w:style>
  <w:style w:type="character" w:customStyle="1" w:styleId="27">
    <w:name w:val="font01"/>
    <w:basedOn w:val="18"/>
    <w:autoRedefine/>
    <w:qFormat/>
    <w:uiPriority w:val="0"/>
    <w:rPr>
      <w:rFonts w:hint="eastAsia" w:ascii="宋体" w:hAnsi="宋体" w:eastAsia="宋体" w:cs="宋体"/>
      <w:color w:val="000000"/>
      <w:sz w:val="20"/>
      <w:szCs w:val="20"/>
      <w:u w:val="none"/>
    </w:rPr>
  </w:style>
  <w:style w:type="character" w:customStyle="1" w:styleId="28">
    <w:name w:val="font31"/>
    <w:basedOn w:val="18"/>
    <w:autoRedefine/>
    <w:qFormat/>
    <w:uiPriority w:val="0"/>
    <w:rPr>
      <w:rFonts w:hint="eastAsia" w:ascii="宋体" w:hAnsi="宋体" w:eastAsia="宋体" w:cs="宋体"/>
      <w:color w:val="000000"/>
      <w:sz w:val="24"/>
      <w:szCs w:val="24"/>
      <w:u w:val="none"/>
    </w:rPr>
  </w:style>
  <w:style w:type="character" w:customStyle="1" w:styleId="29">
    <w:name w:val="font61"/>
    <w:basedOn w:val="18"/>
    <w:autoRedefine/>
    <w:qFormat/>
    <w:uiPriority w:val="0"/>
    <w:rPr>
      <w:rFonts w:hint="default" w:ascii="Times New Roman" w:hAnsi="Times New Roman" w:cs="Times New Roman"/>
      <w:color w:val="000000"/>
      <w:sz w:val="24"/>
      <w:szCs w:val="24"/>
      <w:u w:val="none"/>
    </w:rPr>
  </w:style>
  <w:style w:type="character" w:customStyle="1" w:styleId="30">
    <w:name w:val="font11"/>
    <w:basedOn w:val="18"/>
    <w:autoRedefine/>
    <w:qFormat/>
    <w:uiPriority w:val="0"/>
    <w:rPr>
      <w:rFonts w:hint="eastAsia" w:ascii="宋体" w:hAnsi="宋体" w:eastAsia="宋体" w:cs="宋体"/>
      <w:color w:val="000000"/>
      <w:sz w:val="24"/>
      <w:szCs w:val="24"/>
      <w:u w:val="none"/>
    </w:rPr>
  </w:style>
  <w:style w:type="character" w:customStyle="1" w:styleId="31">
    <w:name w:val="font51"/>
    <w:basedOn w:val="18"/>
    <w:autoRedefine/>
    <w:qFormat/>
    <w:uiPriority w:val="0"/>
    <w:rPr>
      <w:rFonts w:ascii="Calibri" w:hAnsi="Calibri" w:cs="Calibri"/>
      <w:color w:val="000000"/>
      <w:sz w:val="24"/>
      <w:szCs w:val="24"/>
      <w:u w:val="none"/>
    </w:rPr>
  </w:style>
  <w:style w:type="character" w:customStyle="1" w:styleId="32">
    <w:name w:val="font21"/>
    <w:basedOn w:val="18"/>
    <w:autoRedefine/>
    <w:qFormat/>
    <w:uiPriority w:val="0"/>
    <w:rPr>
      <w:rFonts w:hint="eastAsia" w:ascii="宋体" w:hAnsi="宋体" w:eastAsia="宋体" w:cs="宋体"/>
      <w:b/>
      <w:bCs/>
      <w:color w:val="000000"/>
      <w:sz w:val="20"/>
      <w:szCs w:val="20"/>
      <w:u w:val="none"/>
    </w:rPr>
  </w:style>
  <w:style w:type="character" w:customStyle="1" w:styleId="33">
    <w:name w:val="font81"/>
    <w:basedOn w:val="18"/>
    <w:autoRedefine/>
    <w:qFormat/>
    <w:uiPriority w:val="0"/>
    <w:rPr>
      <w:rFonts w:hint="default" w:ascii="Times New Roman" w:hAnsi="Times New Roman" w:cs="Times New Roman"/>
      <w:b/>
      <w:bCs/>
      <w:color w:val="000000"/>
      <w:sz w:val="20"/>
      <w:szCs w:val="20"/>
      <w:u w:val="none"/>
    </w:rPr>
  </w:style>
  <w:style w:type="character" w:customStyle="1" w:styleId="34">
    <w:name w:val="font41"/>
    <w:basedOn w:val="18"/>
    <w:autoRedefine/>
    <w:qFormat/>
    <w:uiPriority w:val="0"/>
    <w:rPr>
      <w:rFonts w:hint="eastAsia" w:ascii="宋体" w:hAnsi="宋体" w:eastAsia="宋体" w:cs="宋体"/>
      <w:color w:val="000000"/>
      <w:sz w:val="20"/>
      <w:szCs w:val="20"/>
      <w:u w:val="none"/>
    </w:rPr>
  </w:style>
  <w:style w:type="character" w:customStyle="1" w:styleId="35">
    <w:name w:val="font71"/>
    <w:basedOn w:val="18"/>
    <w:autoRedefine/>
    <w:qFormat/>
    <w:uiPriority w:val="0"/>
    <w:rPr>
      <w:rFonts w:hint="eastAsia" w:ascii="宋体" w:hAnsi="宋体" w:eastAsia="宋体" w:cs="宋体"/>
      <w:b/>
      <w:bCs/>
      <w:color w:val="000000"/>
      <w:sz w:val="20"/>
      <w:szCs w:val="20"/>
      <w:u w:val="none"/>
      <w:vertAlign w:val="superscript"/>
    </w:rPr>
  </w:style>
  <w:style w:type="character" w:customStyle="1" w:styleId="36">
    <w:name w:val="hover52"/>
    <w:basedOn w:val="18"/>
    <w:autoRedefine/>
    <w:qFormat/>
    <w:uiPriority w:val="0"/>
    <w:rPr>
      <w:color w:val="D61521"/>
    </w:rPr>
  </w:style>
  <w:style w:type="paragraph" w:customStyle="1" w:styleId="37">
    <w:name w:val="Table Paragraph"/>
    <w:basedOn w:val="1"/>
    <w:autoRedefine/>
    <w:qFormat/>
    <w:uiPriority w:val="1"/>
    <w:rPr>
      <w:rFonts w:ascii="宋体" w:hAnsi="宋体" w:eastAsia="宋体" w:cs="宋体"/>
      <w:lang w:val="zh-CN" w:bidi="zh-CN"/>
    </w:rPr>
  </w:style>
  <w:style w:type="character" w:customStyle="1" w:styleId="38">
    <w:name w:val="页眉 Char"/>
    <w:basedOn w:val="18"/>
    <w:link w:val="10"/>
    <w:autoRedefine/>
    <w:qFormat/>
    <w:uiPriority w:val="0"/>
    <w:rPr>
      <w:rFonts w:asciiTheme="minorHAnsi" w:hAnsiTheme="minorHAnsi" w:eastAsiaTheme="minorEastAsia" w:cstheme="minorBidi"/>
      <w:kern w:val="2"/>
      <w:sz w:val="18"/>
      <w:szCs w:val="18"/>
    </w:rPr>
  </w:style>
  <w:style w:type="paragraph" w:styleId="39">
    <w:name w:val="List Paragraph"/>
    <w:basedOn w:val="1"/>
    <w:autoRedefine/>
    <w:unhideWhenUsed/>
    <w:qFormat/>
    <w:uiPriority w:val="99"/>
    <w:pPr>
      <w:ind w:firstLine="420" w:firstLineChars="200"/>
    </w:pPr>
  </w:style>
  <w:style w:type="paragraph" w:customStyle="1" w:styleId="40">
    <w:name w:val="正文1"/>
    <w:basedOn w:val="1"/>
    <w:autoRedefine/>
    <w:qFormat/>
    <w:uiPriority w:val="0"/>
    <w:pPr>
      <w:spacing w:line="400" w:lineRule="exact"/>
    </w:pPr>
    <w:rPr>
      <w:rFonts w:ascii="宋体" w:hAnsi="宋体" w:cs="宋体"/>
      <w:b/>
      <w:bCs/>
      <w:color w:val="000000"/>
      <w:kern w:val="0"/>
      <w:szCs w:val="21"/>
    </w:rPr>
  </w:style>
  <w:style w:type="character" w:customStyle="1" w:styleId="41">
    <w:name w:val="NormalCharacter"/>
    <w:autoRedefine/>
    <w:semiHidden/>
    <w:qFormat/>
    <w:uiPriority w:val="0"/>
  </w:style>
  <w:style w:type="character" w:customStyle="1" w:styleId="42">
    <w:name w:val="批注框文本 Char"/>
    <w:basedOn w:val="18"/>
    <w:link w:val="8"/>
    <w:autoRedefine/>
    <w:qFormat/>
    <w:uiPriority w:val="0"/>
    <w:rPr>
      <w:rFonts w:asciiTheme="minorHAnsi" w:hAnsiTheme="minorHAnsi" w:eastAsiaTheme="minorEastAsia" w:cstheme="minorBidi"/>
      <w:kern w:val="2"/>
      <w:sz w:val="18"/>
      <w:szCs w:val="18"/>
    </w:rPr>
  </w:style>
  <w:style w:type="paragraph" w:customStyle="1" w:styleId="43">
    <w:name w:val="Table Text"/>
    <w:basedOn w:val="1"/>
    <w:semiHidden/>
    <w:qFormat/>
    <w:uiPriority w:val="0"/>
    <w:rPr>
      <w:rFonts w:ascii="宋体" w:hAnsi="宋体" w:eastAsia="宋体" w:cs="宋体"/>
      <w:sz w:val="22"/>
      <w:szCs w:val="22"/>
      <w:lang w:val="en-US" w:eastAsia="en-US" w:bidi="ar-SA"/>
    </w:rPr>
  </w:style>
  <w:style w:type="table" w:customStyle="1" w:styleId="4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4" Type="http://schemas.openxmlformats.org/officeDocument/2006/relationships/glossaryDocument" Target="glossary/document.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600EF275">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711EC83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8471</Words>
  <Characters>9263</Characters>
  <Lines>141</Lines>
  <Paragraphs>39</Paragraphs>
  <TotalTime>29</TotalTime>
  <ScaleCrop>false</ScaleCrop>
  <LinksUpToDate>false</LinksUpToDate>
  <CharactersWithSpaces>9666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半永久（培训）--芊芊</cp:lastModifiedBy>
  <cp:lastPrinted>2024-08-23T07:27:00Z</cp:lastPrinted>
  <dcterms:modified xsi:type="dcterms:W3CDTF">2024-12-16T04:18:01Z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7DE579E99D9B42A6BDE0DCCD626B735B_13</vt:lpwstr>
  </property>
</Properties>
</file>